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A2A0A">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7</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06966</w:t>
      </w:r>
      <w:bookmarkStart w:id="2" w:name="_GoBack"/>
      <w:bookmarkEnd w:id="2"/>
    </w:p>
    <w:p w14:paraId="754A8321">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ascii="Arial" w:hAnsi="Arial" w:eastAsia="宋体" w:cs="Arial"/>
          <w:b/>
          <w:bCs/>
          <w:kern w:val="0"/>
          <w:sz w:val="24"/>
          <w:szCs w:val="24"/>
          <w:lang w:val="en-US" w:eastAsia="zh-CN"/>
        </w:rPr>
        <w:t>Maastricht, Netherlands, Aug 19th – 23th</w:t>
      </w:r>
      <w:r>
        <w:rPr>
          <w:rFonts w:hint="eastAsia" w:ascii="Arial" w:hAnsi="Arial" w:eastAsia="宋体" w:cs="Arial"/>
          <w:b/>
          <w:bCs/>
          <w:kern w:val="0"/>
          <w:sz w:val="24"/>
          <w:szCs w:val="24"/>
          <w:lang w:val="en-US" w:eastAsia="zh-CN"/>
        </w:rPr>
        <w:t>,</w:t>
      </w:r>
      <w:r>
        <w:rPr>
          <w:rFonts w:ascii="Arial" w:hAnsi="Arial" w:eastAsia="宋体" w:cs="Arial"/>
          <w:b/>
          <w:bCs/>
          <w:kern w:val="0"/>
          <w:sz w:val="24"/>
          <w:szCs w:val="24"/>
          <w:lang w:val="en-GB"/>
        </w:rPr>
        <w:t xml:space="preserve"> 202</w:t>
      </w:r>
      <w:r>
        <w:rPr>
          <w:rFonts w:hint="eastAsia" w:ascii="Arial" w:hAnsi="Arial" w:eastAsia="宋体" w:cs="Arial"/>
          <w:b/>
          <w:bCs/>
          <w:kern w:val="0"/>
          <w:sz w:val="24"/>
          <w:szCs w:val="24"/>
        </w:rPr>
        <w:t>4</w:t>
      </w:r>
    </w:p>
    <w:p w14:paraId="539C8297">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5CC5514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3.2.2</w:t>
      </w:r>
    </w:p>
    <w:p w14:paraId="4AC82B1D">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7087E0A4">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other aspects related to RRM measurement prediction</w:t>
      </w:r>
    </w:p>
    <w:p w14:paraId="520DA81C">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14:paraId="203BF172">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63403E06">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76B1877A">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RAN2#115bis and RAN#116 meeting, RAN2 discussed the sub use case and KPI for RRM measurement prediction, and achieved the following agreements [1,2]</w:t>
      </w:r>
      <w:r>
        <w:rPr>
          <w:rFonts w:hint="eastAsia" w:ascii="Arial" w:hAnsi="Arial" w:cs="Arial"/>
          <w:sz w:val="20"/>
          <w:szCs w:val="20"/>
        </w:rPr>
        <w:t>.</w:t>
      </w:r>
      <w:r>
        <w:rPr>
          <w:rFonts w:ascii="Arial" w:hAnsi="Arial" w:eastAsia="宋体" w:cs="Arial"/>
          <w:kern w:val="0"/>
          <w:sz w:val="20"/>
          <w:szCs w:val="20"/>
          <w:lang w:val="en-GB" w:eastAsia="en-US"/>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8979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D7DD88C">
            <w:pPr>
              <w:pStyle w:val="26"/>
              <w:spacing w:beforeLines="0" w:afterLines="0"/>
              <w:ind w:left="363"/>
              <w:rPr>
                <w:rFonts w:hint="default" w:ascii="Arial" w:hAnsi="Arial" w:cs="Arial"/>
                <w:b/>
                <w:sz w:val="20"/>
                <w:szCs w:val="20"/>
              </w:rPr>
            </w:pPr>
            <w:r>
              <w:rPr>
                <w:rFonts w:hint="default" w:ascii="Arial" w:hAnsi="Arial" w:cs="Arial"/>
                <w:b/>
                <w:sz w:val="20"/>
                <w:szCs w:val="20"/>
              </w:rPr>
              <w:t>Agreements</w:t>
            </w:r>
          </w:p>
          <w:p w14:paraId="75D89667">
            <w:pPr>
              <w:pStyle w:val="38"/>
              <w:spacing w:beforeLines="0" w:afterLines="0"/>
              <w:ind w:left="363"/>
              <w:rPr>
                <w:rFonts w:hint="default" w:ascii="Arial" w:hAnsi="Arial" w:cs="Arial"/>
                <w:i w:val="0"/>
                <w:sz w:val="20"/>
                <w:szCs w:val="20"/>
              </w:rPr>
            </w:pPr>
            <w:r>
              <w:rPr>
                <w:rFonts w:hint="default" w:ascii="Arial" w:hAnsi="Arial" w:cs="Arial"/>
                <w:i w:val="0"/>
                <w:sz w:val="20"/>
                <w:szCs w:val="20"/>
              </w:rPr>
              <w:t>1</w:t>
            </w:r>
            <w:r>
              <w:rPr>
                <w:rFonts w:hint="default" w:ascii="Arial" w:hAnsi="Arial" w:cs="Arial"/>
                <w:i w:val="0"/>
                <w:sz w:val="20"/>
                <w:szCs w:val="20"/>
              </w:rPr>
              <w:tab/>
            </w:r>
            <w:r>
              <w:rPr>
                <w:rFonts w:hint="default" w:ascii="Arial" w:hAnsi="Arial" w:cs="Arial"/>
                <w:i w:val="0"/>
                <w:sz w:val="20"/>
                <w:szCs w:val="20"/>
              </w:rPr>
              <w:t>For cell level measurement prediction model, at least consider the following cases:</w:t>
            </w:r>
          </w:p>
          <w:p w14:paraId="46930D46">
            <w:pPr>
              <w:pStyle w:val="38"/>
              <w:spacing w:beforeLines="0" w:afterLines="0"/>
              <w:ind w:left="726"/>
              <w:rPr>
                <w:rFonts w:hint="default" w:ascii="Arial" w:hAnsi="Arial" w:cs="Arial"/>
                <w:i w:val="0"/>
                <w:sz w:val="20"/>
                <w:szCs w:val="20"/>
              </w:rPr>
            </w:pPr>
            <w:r>
              <w:rPr>
                <w:rFonts w:hint="default" w:ascii="Arial" w:hAnsi="Arial" w:cs="Arial"/>
                <w:i w:val="0"/>
                <w:sz w:val="20"/>
                <w:szCs w:val="20"/>
              </w:rPr>
              <w:t xml:space="preserve">Case 1: To predict beam level results, then generate cell level results based on the predicted beam results; </w:t>
            </w:r>
          </w:p>
          <w:p w14:paraId="2D466D87">
            <w:pPr>
              <w:pStyle w:val="38"/>
              <w:spacing w:beforeLines="0" w:afterLines="0"/>
              <w:ind w:left="726"/>
              <w:rPr>
                <w:rFonts w:hint="default" w:ascii="Arial" w:hAnsi="Arial" w:cs="Arial"/>
                <w:i w:val="0"/>
                <w:sz w:val="20"/>
                <w:szCs w:val="20"/>
              </w:rPr>
            </w:pPr>
            <w:r>
              <w:rPr>
                <w:rFonts w:hint="default" w:ascii="Arial" w:hAnsi="Arial" w:cs="Arial"/>
                <w:i w:val="0"/>
                <w:sz w:val="20"/>
                <w:szCs w:val="20"/>
              </w:rPr>
              <w:t>Case 2: To directly predict cell level results based on cell level results.</w:t>
            </w:r>
          </w:p>
          <w:p w14:paraId="66B20EFA">
            <w:pPr>
              <w:pStyle w:val="26"/>
              <w:spacing w:beforeLines="0" w:afterLines="0"/>
              <w:ind w:left="726"/>
              <w:rPr>
                <w:rFonts w:hint="default" w:ascii="Arial" w:hAnsi="Arial" w:cs="Arial"/>
                <w:sz w:val="20"/>
                <w:szCs w:val="20"/>
              </w:rPr>
            </w:pPr>
            <w:r>
              <w:rPr>
                <w:rFonts w:hint="default" w:ascii="Arial" w:hAnsi="Arial" w:cs="Arial"/>
                <w:sz w:val="20"/>
                <w:szCs w:val="20"/>
              </w:rPr>
              <w:t xml:space="preserve">Case 3: To directly predict cell level results based on beam level results </w:t>
            </w:r>
          </w:p>
          <w:p w14:paraId="1952F09D">
            <w:pPr>
              <w:pStyle w:val="38"/>
              <w:spacing w:beforeLines="0" w:afterLines="0"/>
              <w:ind w:left="363"/>
              <w:rPr>
                <w:rFonts w:hint="default" w:ascii="Arial" w:hAnsi="Arial" w:cs="Arial"/>
                <w:sz w:val="20"/>
                <w:szCs w:val="20"/>
              </w:rPr>
            </w:pPr>
            <w:r>
              <w:rPr>
                <w:rFonts w:hint="eastAsia" w:ascii="Arial" w:hAnsi="Arial" w:cs="Arial"/>
                <w:i w:val="0"/>
                <w:sz w:val="20"/>
                <w:szCs w:val="20"/>
                <w:lang w:val="en-US" w:eastAsia="zh-CN"/>
              </w:rPr>
              <w:t xml:space="preserve">2  </w:t>
            </w:r>
            <w:r>
              <w:rPr>
                <w:rFonts w:hint="default" w:ascii="Arial" w:hAnsi="Arial" w:cs="Arial"/>
                <w:i w:val="0"/>
                <w:sz w:val="20"/>
                <w:szCs w:val="20"/>
              </w:rPr>
              <w:t xml:space="preserve">We will consider intra-frequency intra and inter-cell spatial domain measurement predictions, for beam and cell level measurements. </w:t>
            </w:r>
            <w:r>
              <w:rPr>
                <w:rFonts w:hint="default" w:ascii="Arial" w:hAnsi="Arial" w:cs="Arial"/>
                <w:sz w:val="20"/>
                <w:szCs w:val="20"/>
              </w:rPr>
              <w:t xml:space="preserve"> </w:t>
            </w:r>
          </w:p>
          <w:p w14:paraId="2FD56CD1">
            <w:pPr>
              <w:pStyle w:val="38"/>
              <w:spacing w:beforeLines="0" w:afterLines="0"/>
              <w:ind w:left="363"/>
              <w:rPr>
                <w:rFonts w:hint="default" w:ascii="Arial" w:hAnsi="Arial" w:cs="Arial"/>
                <w:i w:val="0"/>
                <w:sz w:val="20"/>
                <w:szCs w:val="20"/>
              </w:rPr>
            </w:pPr>
            <w:r>
              <w:rPr>
                <w:rFonts w:hint="eastAsia" w:ascii="Arial" w:hAnsi="Arial" w:cs="Arial"/>
                <w:i w:val="0"/>
                <w:sz w:val="20"/>
                <w:szCs w:val="20"/>
                <w:lang w:val="en-US" w:eastAsia="zh-CN"/>
              </w:rPr>
              <w:t xml:space="preserve">3  </w:t>
            </w:r>
            <w:r>
              <w:rPr>
                <w:rFonts w:hint="default" w:ascii="Arial" w:hAnsi="Arial" w:cs="Arial"/>
                <w:i w:val="0"/>
                <w:sz w:val="20"/>
                <w:szCs w:val="20"/>
              </w:rPr>
              <w:t xml:space="preserve">For temporal domain measurement prediction, we will consider the AI-PHY beam management Case A and Case B from the RAN1 AI/ML PHY TR and it applies to both beam level and cell level.   As baseline we will focus on pure temporal predicition.  </w:t>
            </w:r>
          </w:p>
          <w:p w14:paraId="5258A6DD">
            <w:pPr>
              <w:pStyle w:val="38"/>
              <w:spacing w:beforeLines="0" w:afterLines="0"/>
              <w:ind w:left="363"/>
              <w:rPr>
                <w:rFonts w:hint="default" w:ascii="Arial" w:hAnsi="Arial" w:cs="Arial"/>
                <w:i w:val="0"/>
                <w:sz w:val="20"/>
                <w:szCs w:val="20"/>
              </w:rPr>
            </w:pPr>
            <w:r>
              <w:rPr>
                <w:rFonts w:hint="eastAsia" w:ascii="Arial" w:hAnsi="Arial" w:cs="Arial"/>
                <w:i w:val="0"/>
                <w:sz w:val="20"/>
                <w:szCs w:val="20"/>
                <w:lang w:val="en-US" w:eastAsia="zh-CN"/>
              </w:rPr>
              <w:t xml:space="preserve">4  </w:t>
            </w:r>
            <w:r>
              <w:rPr>
                <w:rFonts w:hint="default" w:ascii="Arial" w:hAnsi="Arial" w:cs="Arial"/>
                <w:i w:val="0"/>
                <w:sz w:val="20"/>
                <w:szCs w:val="20"/>
              </w:rPr>
              <w:t>The following items can be considered as a baseline for the prediction accuracy of the cell-level measurement prediction：</w:t>
            </w:r>
          </w:p>
          <w:p w14:paraId="16D1DC56">
            <w:pPr>
              <w:pStyle w:val="26"/>
              <w:spacing w:beforeLines="0" w:afterLines="0"/>
              <w:ind w:left="360" w:firstLine="0"/>
              <w:rPr>
                <w:rFonts w:hint="default" w:ascii="Arial" w:hAnsi="Arial" w:cs="Arial"/>
                <w:sz w:val="20"/>
                <w:szCs w:val="20"/>
              </w:rPr>
            </w:pPr>
            <w:r>
              <w:rPr>
                <w:rFonts w:hint="default" w:ascii="Arial" w:hAnsi="Arial" w:cs="Arial"/>
                <w:sz w:val="20"/>
                <w:szCs w:val="20"/>
              </w:rPr>
              <w:t>Spatial-domain prediction</w:t>
            </w:r>
            <w:r>
              <w:rPr>
                <w:rFonts w:hint="default" w:ascii="Arial" w:hAnsi="Arial" w:eastAsia="MS Gothic" w:cs="Arial"/>
                <w:sz w:val="20"/>
                <w:szCs w:val="20"/>
              </w:rPr>
              <w:t>：</w:t>
            </w:r>
            <w:r>
              <w:rPr>
                <w:rFonts w:hint="default" w:ascii="Arial" w:hAnsi="Arial" w:cs="Arial"/>
                <w:sz w:val="20"/>
                <w:szCs w:val="20"/>
              </w:rPr>
              <w:t xml:space="preserve"> RSRP difference to the actual measurement</w:t>
            </w:r>
          </w:p>
          <w:p w14:paraId="34C169AE">
            <w:pPr>
              <w:pStyle w:val="26"/>
              <w:spacing w:beforeLines="0" w:afterLines="0"/>
              <w:ind w:left="360" w:firstLine="0"/>
              <w:rPr>
                <w:rFonts w:hint="default" w:ascii="Arial" w:hAnsi="Arial" w:cs="Arial"/>
                <w:sz w:val="20"/>
                <w:szCs w:val="20"/>
              </w:rPr>
            </w:pPr>
            <w:r>
              <w:rPr>
                <w:rFonts w:hint="default" w:ascii="Arial" w:hAnsi="Arial" w:cs="Arial"/>
                <w:sz w:val="20"/>
                <w:szCs w:val="20"/>
              </w:rPr>
              <w:t>Temporal prediction</w:t>
            </w:r>
            <w:r>
              <w:rPr>
                <w:rFonts w:hint="default" w:ascii="Arial" w:hAnsi="Arial" w:eastAsia="MS Gothic" w:cs="Arial"/>
                <w:sz w:val="20"/>
                <w:szCs w:val="20"/>
              </w:rPr>
              <w:t>：</w:t>
            </w:r>
            <w:r>
              <w:rPr>
                <w:rFonts w:hint="default" w:ascii="Arial" w:hAnsi="Arial" w:cs="Arial"/>
                <w:sz w:val="20"/>
                <w:szCs w:val="20"/>
              </w:rPr>
              <w:t>RSRP difference to the actual measurement</w:t>
            </w:r>
          </w:p>
          <w:p w14:paraId="781E21FF">
            <w:pPr>
              <w:pStyle w:val="26"/>
              <w:spacing w:beforeLines="0" w:afterLines="0"/>
              <w:ind w:left="360" w:firstLine="0"/>
              <w:rPr>
                <w:rFonts w:hint="default" w:ascii="Arial" w:hAnsi="Arial" w:cs="Arial"/>
                <w:sz w:val="20"/>
                <w:szCs w:val="20"/>
              </w:rPr>
            </w:pPr>
            <w:r>
              <w:rPr>
                <w:rFonts w:hint="default" w:ascii="Arial" w:hAnsi="Arial" w:cs="Arial"/>
                <w:sz w:val="20"/>
                <w:szCs w:val="20"/>
              </w:rPr>
              <w:t>measurement reduction rate as one KPI</w:t>
            </w:r>
          </w:p>
          <w:p w14:paraId="2BD63F7D">
            <w:pPr>
              <w:pStyle w:val="38"/>
              <w:spacing w:beforeLines="0" w:afterLines="0"/>
              <w:ind w:left="363"/>
              <w:rPr>
                <w:rFonts w:hint="default" w:ascii="Arial" w:hAnsi="Arial" w:cs="Arial" w:eastAsiaTheme="minorEastAsia"/>
                <w:i w:val="0"/>
                <w:kern w:val="2"/>
                <w:sz w:val="20"/>
                <w:szCs w:val="20"/>
                <w:lang w:val="en-US" w:eastAsia="zh-CN" w:bidi="ar-SA"/>
              </w:rPr>
            </w:pPr>
            <w:r>
              <w:rPr>
                <w:rFonts w:hint="eastAsia" w:ascii="Arial" w:hAnsi="Arial" w:cs="Arial" w:eastAsiaTheme="minorEastAsia"/>
                <w:i w:val="0"/>
                <w:kern w:val="2"/>
                <w:sz w:val="20"/>
                <w:szCs w:val="20"/>
                <w:lang w:val="en-US" w:eastAsia="zh-CN" w:bidi="ar-SA"/>
              </w:rPr>
              <w:t xml:space="preserve">5  </w:t>
            </w:r>
            <w:r>
              <w:rPr>
                <w:rFonts w:hint="default" w:ascii="Arial" w:hAnsi="Arial" w:cs="Arial" w:eastAsiaTheme="minorEastAsia"/>
                <w:i w:val="0"/>
                <w:kern w:val="2"/>
                <w:sz w:val="20"/>
                <w:szCs w:val="20"/>
                <w:lang w:val="en-US" w:eastAsia="zh-CN" w:bidi="ar-SA"/>
              </w:rPr>
              <w:t xml:space="preserve">As a first step we will focus on measurement prediction accuracy.  FFS whether and what system level performance </w:t>
            </w:r>
            <w:r>
              <w:rPr>
                <w:rFonts w:hint="default" w:ascii="Arial" w:hAnsi="Arial" w:cs="Arial"/>
                <w:i w:val="0"/>
                <w:sz w:val="20"/>
                <w:szCs w:val="20"/>
                <w:lang w:val="en-US" w:eastAsia="zh-CN"/>
              </w:rPr>
              <w:t xml:space="preserve">evaluation </w:t>
            </w:r>
            <w:r>
              <w:rPr>
                <w:rFonts w:hint="default" w:ascii="Arial" w:hAnsi="Arial" w:cs="Arial" w:eastAsiaTheme="minorEastAsia"/>
                <w:i w:val="0"/>
                <w:kern w:val="2"/>
                <w:sz w:val="20"/>
                <w:szCs w:val="20"/>
                <w:lang w:val="en-US" w:eastAsia="zh-CN" w:bidi="ar-SA"/>
              </w:rPr>
              <w:t>is needed</w:t>
            </w:r>
          </w:p>
          <w:p w14:paraId="28BEB56E">
            <w:pPr>
              <w:pStyle w:val="26"/>
              <w:spacing w:beforeLines="0" w:afterLines="0"/>
              <w:ind w:left="363"/>
              <w:rPr>
                <w:rFonts w:hint="default" w:ascii="Arial" w:hAnsi="Arial" w:cs="Arial"/>
                <w:b/>
                <w:sz w:val="20"/>
                <w:szCs w:val="20"/>
              </w:rPr>
            </w:pPr>
            <w:r>
              <w:rPr>
                <w:rFonts w:hint="default" w:ascii="Arial" w:hAnsi="Arial" w:cs="Arial"/>
                <w:b/>
                <w:sz w:val="20"/>
                <w:szCs w:val="20"/>
              </w:rPr>
              <w:t>Agreements</w:t>
            </w:r>
          </w:p>
          <w:p w14:paraId="33BC83D8">
            <w:pPr>
              <w:pStyle w:val="38"/>
              <w:spacing w:beforeLines="0" w:afterLines="0"/>
              <w:ind w:left="363"/>
              <w:rPr>
                <w:lang w:val="en-GB" w:eastAsia="en-US"/>
              </w:rPr>
            </w:pPr>
            <w:r>
              <w:rPr>
                <w:rFonts w:cs="Arial"/>
                <w:lang w:val="en-US"/>
              </w:rPr>
              <w:t>=&gt;</w:t>
            </w:r>
            <w:r>
              <w:rPr>
                <w:rFonts w:cs="Arial"/>
                <w:lang w:val="en-US"/>
              </w:rPr>
              <w:tab/>
            </w:r>
            <w:r>
              <w:rPr>
                <w:rFonts w:hint="default" w:ascii="Arial" w:hAnsi="Arial" w:cs="Arial" w:eastAsiaTheme="minorEastAsia"/>
                <w:i w:val="0"/>
                <w:kern w:val="2"/>
                <w:sz w:val="20"/>
                <w:szCs w:val="20"/>
                <w:lang w:val="en-US" w:eastAsia="zh-CN" w:bidi="ar-SA"/>
              </w:rPr>
              <w:t>We will start the evaluation with measurements prediction accuracy and model complexity.  We can discuss system performance after we see which scenarios have good measurements prediction accuracy.</w:t>
            </w:r>
          </w:p>
        </w:tc>
      </w:tr>
    </w:tbl>
    <w:p w14:paraId="3939A27F">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 we</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cs="Arial"/>
          <w:sz w:val="20"/>
          <w:szCs w:val="20"/>
          <w:lang w:val="en-US" w:eastAsia="zh-CN"/>
        </w:rPr>
        <w:t xml:space="preserve">further </w:t>
      </w:r>
      <w:r>
        <w:rPr>
          <w:rFonts w:hint="eastAsia" w:ascii="Arial" w:hAnsi="Arial" w:eastAsia="宋体" w:cs="Arial"/>
          <w:kern w:val="0"/>
          <w:sz w:val="20"/>
          <w:szCs w:val="20"/>
        </w:rPr>
        <w:t xml:space="preserve">discuss on </w:t>
      </w:r>
      <w:r>
        <w:rPr>
          <w:rFonts w:hint="eastAsia" w:ascii="Arial" w:hAnsi="Arial" w:eastAsia="宋体" w:cs="Arial"/>
          <w:kern w:val="0"/>
          <w:sz w:val="20"/>
          <w:szCs w:val="20"/>
          <w:lang w:val="en-US" w:eastAsia="zh-CN"/>
        </w:rPr>
        <w:t>RRM measurement specific sub use cases and relevant evaluation metrics/KPIs to evaluate</w:t>
      </w:r>
      <w:r>
        <w:rPr>
          <w:rFonts w:ascii="Arial" w:hAnsi="Arial" w:eastAsia="宋体" w:cs="Arial"/>
          <w:kern w:val="0"/>
          <w:sz w:val="20"/>
          <w:szCs w:val="20"/>
          <w:lang w:val="en-GB"/>
        </w:rPr>
        <w:t>.</w:t>
      </w:r>
    </w:p>
    <w:p w14:paraId="1E8F5971">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13E2ACB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2.1 Sub use cases for L3 beam level prediction</w:t>
      </w:r>
    </w:p>
    <w:p w14:paraId="3E45E97E">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During the previous meetings, RAN2 discussed L3 cell level prediction sub use cases and simulation assumptions. As per SID [3], we think L3 beam level results are also needed for L3 mobility.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B21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EE8ADB0">
            <w:pPr>
              <w:widowControl w:val="0"/>
              <w:numPr>
                <w:ilvl w:val="0"/>
                <w:numId w:val="7"/>
              </w:numPr>
              <w:overflowPunct/>
              <w:autoSpaceDE/>
              <w:autoSpaceDN/>
              <w:adjustRightInd/>
              <w:spacing w:after="0"/>
              <w:jc w:val="both"/>
              <w:textAlignment w:val="auto"/>
              <w:rPr>
                <w:rFonts w:hint="default" w:ascii="Arial" w:hAnsi="Arial" w:cs="Arial"/>
                <w:bCs/>
                <w:sz w:val="20"/>
                <w:szCs w:val="22"/>
                <w:lang w:val="en-US"/>
              </w:rPr>
            </w:pPr>
            <w:r>
              <w:rPr>
                <w:rFonts w:hint="default" w:ascii="Arial" w:hAnsi="Arial" w:eastAsia="Calibri" w:cs="Arial"/>
                <w:bCs/>
                <w:sz w:val="20"/>
                <w:szCs w:val="22"/>
                <w:lang w:val="en-US"/>
              </w:rPr>
              <w:t xml:space="preserve">AI/ML based RRM measurement and event prediction, </w:t>
            </w:r>
          </w:p>
          <w:p w14:paraId="7A58741F">
            <w:pPr>
              <w:widowControl w:val="0"/>
              <w:numPr>
                <w:ilvl w:val="1"/>
                <w:numId w:val="7"/>
              </w:numPr>
              <w:overflowPunct/>
              <w:autoSpaceDE/>
              <w:autoSpaceDN/>
              <w:adjustRightInd/>
              <w:spacing w:after="0"/>
              <w:jc w:val="both"/>
              <w:textAlignment w:val="auto"/>
              <w:rPr>
                <w:rFonts w:hint="default" w:ascii="Arial" w:hAnsi="Arial" w:eastAsia="等线" w:cs="Arial"/>
                <w:bCs/>
                <w:sz w:val="20"/>
                <w:szCs w:val="22"/>
                <w:lang w:val="en-US"/>
              </w:rPr>
            </w:pPr>
            <w:r>
              <w:rPr>
                <w:rFonts w:hint="default" w:ascii="Arial" w:hAnsi="Arial" w:eastAsia="Calibri" w:cs="Arial"/>
                <w:bCs/>
                <w:sz w:val="20"/>
                <w:szCs w:val="22"/>
                <w:lang w:val="en-US"/>
              </w:rPr>
              <w:t>Cell-level measurement prediction including intra and inter-frequency (UE sided and NW sided model) [RAN2]</w:t>
            </w:r>
          </w:p>
          <w:p w14:paraId="1F12338D">
            <w:pPr>
              <w:widowControl w:val="0"/>
              <w:numPr>
                <w:ilvl w:val="2"/>
                <w:numId w:val="7"/>
              </w:numPr>
              <w:overflowPunct/>
              <w:autoSpaceDE/>
              <w:autoSpaceDN/>
              <w:adjustRightInd/>
              <w:spacing w:after="0"/>
              <w:jc w:val="both"/>
              <w:textAlignment w:val="auto"/>
              <w:rPr>
                <w:rFonts w:hint="default" w:ascii="Arial" w:hAnsi="Arial" w:eastAsia="等线" w:cs="Arial"/>
                <w:bCs/>
                <w:sz w:val="20"/>
                <w:szCs w:val="22"/>
                <w:lang w:val="en-US"/>
              </w:rPr>
            </w:pPr>
            <w:r>
              <w:rPr>
                <w:rFonts w:hint="default" w:ascii="Arial" w:hAnsi="Arial" w:eastAsia="Calibri" w:cs="Arial"/>
                <w:bCs/>
                <w:sz w:val="20"/>
                <w:szCs w:val="22"/>
                <w:highlight w:val="yellow"/>
                <w:lang w:val="en-US"/>
              </w:rPr>
              <w:t>Inter-cell Beam-level measurement prediction for L3 Mobility</w:t>
            </w:r>
            <w:r>
              <w:rPr>
                <w:rFonts w:hint="default" w:ascii="Arial" w:hAnsi="Arial" w:eastAsia="Calibri" w:cs="Arial"/>
                <w:bCs/>
                <w:sz w:val="20"/>
                <w:szCs w:val="22"/>
                <w:lang w:val="en-US"/>
              </w:rPr>
              <w:t xml:space="preserve"> (UE sided and NW sided model) [RAN2]</w:t>
            </w:r>
          </w:p>
          <w:p w14:paraId="26FD96AD">
            <w:pPr>
              <w:widowControl w:val="0"/>
              <w:numPr>
                <w:ilvl w:val="1"/>
                <w:numId w:val="7"/>
              </w:numPr>
              <w:overflowPunct/>
              <w:autoSpaceDE/>
              <w:autoSpaceDN/>
              <w:adjustRightInd/>
              <w:spacing w:after="0"/>
              <w:jc w:val="both"/>
              <w:textAlignment w:val="auto"/>
              <w:rPr>
                <w:rFonts w:hint="default" w:ascii="Arial" w:hAnsi="Arial" w:cs="Arial"/>
                <w:bCs/>
                <w:sz w:val="20"/>
                <w:szCs w:val="22"/>
                <w:lang w:val="en-US"/>
              </w:rPr>
            </w:pPr>
            <w:r>
              <w:rPr>
                <w:rFonts w:hint="default" w:ascii="Arial" w:hAnsi="Arial" w:eastAsia="Calibri" w:cs="Arial"/>
                <w:bCs/>
                <w:sz w:val="20"/>
                <w:szCs w:val="22"/>
                <w:lang w:val="en-US"/>
              </w:rPr>
              <w:t>HO failure/RLF prediction (UE sided model) [RAN2]</w:t>
            </w:r>
          </w:p>
          <w:p w14:paraId="5A7CBE24">
            <w:pPr>
              <w:widowControl w:val="0"/>
              <w:numPr>
                <w:ilvl w:val="1"/>
                <w:numId w:val="7"/>
              </w:numPr>
              <w:overflowPunct/>
              <w:autoSpaceDE/>
              <w:autoSpaceDN/>
              <w:adjustRightInd/>
              <w:spacing w:after="0"/>
              <w:jc w:val="both"/>
              <w:textAlignment w:val="auto"/>
              <w:rPr>
                <w:rFonts w:hint="eastAsia" w:ascii="Arial" w:hAnsi="Arial" w:eastAsia="等线" w:cs="Arial"/>
                <w:kern w:val="0"/>
                <w:sz w:val="20"/>
                <w:szCs w:val="20"/>
                <w:vertAlign w:val="baseline"/>
                <w:lang w:val="en-US" w:eastAsia="zh-CN"/>
              </w:rPr>
            </w:pPr>
            <w:r>
              <w:rPr>
                <w:rFonts w:hint="default" w:ascii="Arial" w:hAnsi="Arial" w:eastAsia="Calibri" w:cs="Arial"/>
                <w:bCs/>
                <w:sz w:val="20"/>
                <w:szCs w:val="22"/>
                <w:lang w:val="en-US"/>
              </w:rPr>
              <w:t>Measurement events prediction (UE sided model) [RAN2]</w:t>
            </w:r>
          </w:p>
        </w:tc>
      </w:tr>
    </w:tbl>
    <w:p w14:paraId="14E198A1">
      <w:pPr>
        <w:keepNext w:val="0"/>
        <w:keepLines w:val="0"/>
        <w:pageBreakBefore w:val="0"/>
        <w:widowControl/>
        <w:kinsoku/>
        <w:wordWrap/>
        <w:overflowPunct/>
        <w:topLinePunct w:val="0"/>
        <w:autoSpaceDE/>
        <w:autoSpaceDN/>
        <w:bidi w:val="0"/>
        <w:adjustRightInd/>
        <w:snapToGrid/>
        <w:spacing w:before="0" w:beforeLines="50" w:after="180"/>
        <w:jc w:val="both"/>
        <w:textAlignment w:val="auto"/>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In legacy handover procedure, the network may also configure the UE to report the measurement information per beam. If beam measurement information is configured to be included in measurement reports, the UE applies the layer 3 beam filtering as illustrated in Figure </w:t>
      </w:r>
      <w:r>
        <w:rPr>
          <w:rFonts w:hint="default" w:ascii="Arial" w:hAnsi="Arial" w:eastAsia="等线" w:cs="Arial"/>
          <w:kern w:val="0"/>
          <w:sz w:val="20"/>
          <w:szCs w:val="20"/>
          <w:lang w:val="en-US" w:eastAsia="zh-CN"/>
        </w:rPr>
        <w:t>1</w:t>
      </w:r>
      <w:r>
        <w:rPr>
          <w:rFonts w:hint="eastAsia" w:ascii="Arial" w:hAnsi="Arial" w:eastAsia="等线" w:cs="Arial"/>
          <w:kern w:val="0"/>
          <w:sz w:val="20"/>
          <w:szCs w:val="20"/>
          <w:lang w:val="en-US" w:eastAsia="zh-CN"/>
        </w:rPr>
        <w:t xml:space="preserve"> [4]. The reported measurements per beam will be used for network to select a specific beam of target cell. </w:t>
      </w:r>
    </w:p>
    <w:p w14:paraId="2F023543">
      <w:pPr>
        <w:widowControl/>
        <w:spacing w:after="180"/>
        <w:jc w:val="center"/>
        <w:rPr>
          <w:rFonts w:ascii="Times New Roman" w:hAnsi="Times New Roman" w:cs="Times New Roman"/>
          <w:kern w:val="0"/>
          <w:sz w:val="20"/>
          <w:szCs w:val="20"/>
          <w:lang w:val="en-GB" w:eastAsia="en-US"/>
        </w:rPr>
      </w:pPr>
      <w:r>
        <w:drawing>
          <wp:inline distT="0" distB="0" distL="114300" distR="114300">
            <wp:extent cx="5363845" cy="2624455"/>
            <wp:effectExtent l="0" t="0" r="825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363845" cy="2624455"/>
                    </a:xfrm>
                    <a:prstGeom prst="rect">
                      <a:avLst/>
                    </a:prstGeom>
                    <a:noFill/>
                    <a:ln>
                      <a:noFill/>
                    </a:ln>
                  </pic:spPr>
                </pic:pic>
              </a:graphicData>
            </a:graphic>
          </wp:inline>
        </w:drawing>
      </w:r>
    </w:p>
    <w:p w14:paraId="2E5ABF9F">
      <w:pPr>
        <w:widowControl/>
        <w:spacing w:after="180"/>
        <w:jc w:val="center"/>
        <w:rPr>
          <w:rFonts w:hint="default" w:ascii="Arial" w:hAnsi="Arial" w:eastAsia="Calibri" w:cs="Arial"/>
          <w:b/>
          <w:kern w:val="0"/>
          <w:sz w:val="20"/>
          <w:szCs w:val="20"/>
          <w:lang w:val="en-US" w:eastAsia="zh-CN"/>
        </w:rPr>
      </w:pPr>
      <w:r>
        <w:rPr>
          <w:rFonts w:hint="default" w:ascii="Arial" w:hAnsi="Arial" w:eastAsia="Calibri" w:cs="Arial"/>
          <w:b/>
          <w:kern w:val="0"/>
          <w:sz w:val="20"/>
          <w:szCs w:val="20"/>
          <w:lang w:val="en-US" w:eastAsia="zh-CN"/>
        </w:rPr>
        <w:t>Figure 1: Measurement Model [</w:t>
      </w:r>
      <w:r>
        <w:rPr>
          <w:rFonts w:hint="eastAsia" w:ascii="Arial" w:hAnsi="Arial" w:eastAsia="Calibri" w:cs="Arial"/>
          <w:b/>
          <w:kern w:val="0"/>
          <w:sz w:val="20"/>
          <w:szCs w:val="20"/>
          <w:lang w:val="en-US" w:eastAsia="zh-CN"/>
        </w:rPr>
        <w:t>4</w:t>
      </w:r>
      <w:r>
        <w:rPr>
          <w:rFonts w:hint="default" w:ascii="Arial" w:hAnsi="Arial" w:eastAsia="Calibri" w:cs="Arial"/>
          <w:b/>
          <w:kern w:val="0"/>
          <w:sz w:val="20"/>
          <w:szCs w:val="20"/>
          <w:lang w:val="en-US" w:eastAsia="zh-CN"/>
        </w:rPr>
        <w:t>]</w:t>
      </w:r>
    </w:p>
    <w:p w14:paraId="314664F1">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1: L3 beam level results are used for network to select a specific beam of target cell for L3 mobility.</w:t>
      </w:r>
    </w:p>
    <w:p w14:paraId="41775EE5">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Therefore, RAN2 is suggested to study the L3 beam level results prediction in this SID.</w:t>
      </w:r>
    </w:p>
    <w:p w14:paraId="24162A42">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1: RAN2 is suggested to study the L3 beam level results prediction.</w:t>
      </w:r>
    </w:p>
    <w:p w14:paraId="78B60712">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For L3 beam level results prediction, the similar sub-use case as L3 cell level results prediction can be considered based on the above analysis, i.e. </w:t>
      </w:r>
    </w:p>
    <w:p w14:paraId="496B4B83">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Case 1: To predict </w:t>
      </w:r>
      <w:r>
        <w:rPr>
          <w:rFonts w:hint="eastAsia" w:ascii="Arial" w:hAnsi="Arial" w:eastAsia="等线" w:cs="Arial"/>
          <w:kern w:val="0"/>
          <w:sz w:val="20"/>
          <w:szCs w:val="20"/>
          <w:lang w:val="en-US" w:eastAsia="zh-CN"/>
        </w:rPr>
        <w:t xml:space="preserve">L1 </w:t>
      </w:r>
      <w:r>
        <w:rPr>
          <w:rFonts w:hint="default" w:ascii="Arial" w:hAnsi="Arial" w:eastAsia="等线" w:cs="Arial"/>
          <w:kern w:val="0"/>
          <w:sz w:val="20"/>
          <w:szCs w:val="20"/>
          <w:lang w:val="en-US" w:eastAsia="zh-CN"/>
        </w:rPr>
        <w:t xml:space="preserve">beam level results, then generate </w:t>
      </w:r>
      <w:r>
        <w:rPr>
          <w:rFonts w:hint="eastAsia" w:ascii="Arial" w:hAnsi="Arial" w:eastAsia="等线" w:cs="Arial"/>
          <w:kern w:val="0"/>
          <w:sz w:val="20"/>
          <w:szCs w:val="20"/>
          <w:lang w:val="en-US" w:eastAsia="zh-CN"/>
        </w:rPr>
        <w:t>L3 beam</w:t>
      </w:r>
      <w:r>
        <w:rPr>
          <w:rFonts w:hint="default" w:ascii="Arial" w:hAnsi="Arial" w:eastAsia="等线" w:cs="Arial"/>
          <w:kern w:val="0"/>
          <w:sz w:val="20"/>
          <w:szCs w:val="20"/>
          <w:lang w:val="en-US" w:eastAsia="zh-CN"/>
        </w:rPr>
        <w:t xml:space="preserve"> level results based on the predicted </w:t>
      </w:r>
      <w:r>
        <w:rPr>
          <w:rFonts w:hint="eastAsia" w:ascii="Arial" w:hAnsi="Arial" w:eastAsia="等线" w:cs="Arial"/>
          <w:kern w:val="0"/>
          <w:sz w:val="20"/>
          <w:szCs w:val="20"/>
          <w:lang w:val="en-US" w:eastAsia="zh-CN"/>
        </w:rPr>
        <w:t xml:space="preserve">L1 </w:t>
      </w:r>
      <w:r>
        <w:rPr>
          <w:rFonts w:hint="default" w:ascii="Arial" w:hAnsi="Arial" w:eastAsia="等线" w:cs="Arial"/>
          <w:kern w:val="0"/>
          <w:sz w:val="20"/>
          <w:szCs w:val="20"/>
          <w:lang w:val="en-US" w:eastAsia="zh-CN"/>
        </w:rPr>
        <w:t xml:space="preserve">beam results </w:t>
      </w:r>
    </w:p>
    <w:p w14:paraId="0D2AC7BF">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Case 2: To directly predict </w:t>
      </w:r>
      <w:r>
        <w:rPr>
          <w:rFonts w:hint="eastAsia" w:ascii="Arial" w:hAnsi="Arial" w:eastAsia="等线" w:cs="Arial"/>
          <w:kern w:val="0"/>
          <w:sz w:val="20"/>
          <w:szCs w:val="20"/>
          <w:lang w:val="en-US" w:eastAsia="zh-CN"/>
        </w:rPr>
        <w:t xml:space="preserve">L3 beam </w:t>
      </w:r>
      <w:r>
        <w:rPr>
          <w:rFonts w:hint="default" w:ascii="Arial" w:hAnsi="Arial" w:eastAsia="等线" w:cs="Arial"/>
          <w:kern w:val="0"/>
          <w:sz w:val="20"/>
          <w:szCs w:val="20"/>
          <w:lang w:val="en-US" w:eastAsia="zh-CN"/>
        </w:rPr>
        <w:t xml:space="preserve">level results based on </w:t>
      </w:r>
      <w:r>
        <w:rPr>
          <w:rFonts w:hint="eastAsia" w:ascii="Arial" w:hAnsi="Arial" w:eastAsia="等线" w:cs="Arial"/>
          <w:kern w:val="0"/>
          <w:sz w:val="20"/>
          <w:szCs w:val="20"/>
          <w:lang w:val="en-US" w:eastAsia="zh-CN"/>
        </w:rPr>
        <w:t xml:space="preserve">L3 beam </w:t>
      </w:r>
      <w:r>
        <w:rPr>
          <w:rFonts w:hint="default" w:ascii="Arial" w:hAnsi="Arial" w:eastAsia="等线" w:cs="Arial"/>
          <w:kern w:val="0"/>
          <w:sz w:val="20"/>
          <w:szCs w:val="20"/>
          <w:lang w:val="en-US" w:eastAsia="zh-CN"/>
        </w:rPr>
        <w:t>level results</w:t>
      </w:r>
    </w:p>
    <w:p w14:paraId="7090FD69">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Case 3: To directly predict </w:t>
      </w:r>
      <w:r>
        <w:rPr>
          <w:rFonts w:hint="eastAsia" w:ascii="Arial" w:hAnsi="Arial" w:eastAsia="等线" w:cs="Arial"/>
          <w:kern w:val="0"/>
          <w:sz w:val="20"/>
          <w:szCs w:val="20"/>
          <w:lang w:val="en-US" w:eastAsia="zh-CN"/>
        </w:rPr>
        <w:t xml:space="preserve">L3 beam </w:t>
      </w:r>
      <w:r>
        <w:rPr>
          <w:rFonts w:hint="default" w:ascii="Arial" w:hAnsi="Arial" w:eastAsia="等线" w:cs="Arial"/>
          <w:kern w:val="0"/>
          <w:sz w:val="20"/>
          <w:szCs w:val="20"/>
          <w:lang w:val="en-US" w:eastAsia="zh-CN"/>
        </w:rPr>
        <w:t xml:space="preserve">level results based on </w:t>
      </w:r>
      <w:r>
        <w:rPr>
          <w:rFonts w:hint="eastAsia" w:ascii="Arial" w:hAnsi="Arial" w:eastAsia="等线" w:cs="Arial"/>
          <w:kern w:val="0"/>
          <w:sz w:val="20"/>
          <w:szCs w:val="20"/>
          <w:lang w:val="en-US" w:eastAsia="zh-CN"/>
        </w:rPr>
        <w:t xml:space="preserve">L1 </w:t>
      </w:r>
      <w:r>
        <w:rPr>
          <w:rFonts w:hint="default" w:ascii="Arial" w:hAnsi="Arial" w:eastAsia="等线" w:cs="Arial"/>
          <w:kern w:val="0"/>
          <w:sz w:val="20"/>
          <w:szCs w:val="20"/>
          <w:lang w:val="en-US" w:eastAsia="zh-CN"/>
        </w:rPr>
        <w:t>beam level results</w:t>
      </w:r>
    </w:p>
    <w:p w14:paraId="1C343793">
      <w:pPr>
        <w:widowControl/>
        <w:spacing w:after="180"/>
        <w:jc w:val="center"/>
      </w:pPr>
      <w:r>
        <w:drawing>
          <wp:inline distT="0" distB="0" distL="114300" distR="114300">
            <wp:extent cx="5403215" cy="2141220"/>
            <wp:effectExtent l="0" t="0" r="698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403215" cy="2141220"/>
                    </a:xfrm>
                    <a:prstGeom prst="rect">
                      <a:avLst/>
                    </a:prstGeom>
                    <a:noFill/>
                    <a:ln>
                      <a:noFill/>
                    </a:ln>
                  </pic:spPr>
                </pic:pic>
              </a:graphicData>
            </a:graphic>
          </wp:inline>
        </w:drawing>
      </w:r>
    </w:p>
    <w:p w14:paraId="1493C22F">
      <w:pPr>
        <w:widowControl/>
        <w:spacing w:after="180"/>
        <w:jc w:val="center"/>
        <w:rPr>
          <w:rFonts w:hint="default"/>
          <w:lang w:val="en-US" w:eastAsia="zh-CN"/>
        </w:rPr>
      </w:pPr>
      <w:r>
        <w:rPr>
          <w:rFonts w:hint="default" w:ascii="Arial" w:hAnsi="Arial" w:cs="Arial"/>
          <w:b/>
          <w:bCs/>
          <w:sz w:val="20"/>
          <w:szCs w:val="21"/>
          <w:lang w:val="en-US" w:eastAsia="zh-CN"/>
        </w:rPr>
        <w:t xml:space="preserve">Figure </w:t>
      </w:r>
      <w:r>
        <w:rPr>
          <w:rFonts w:hint="eastAsia" w:ascii="Arial" w:hAnsi="Arial" w:cs="Arial"/>
          <w:b/>
          <w:bCs/>
          <w:sz w:val="20"/>
          <w:szCs w:val="21"/>
          <w:lang w:val="en-US" w:eastAsia="zh-CN"/>
        </w:rPr>
        <w:t>2</w:t>
      </w:r>
      <w:r>
        <w:rPr>
          <w:rFonts w:hint="default" w:ascii="Arial" w:hAnsi="Arial" w:cs="Arial"/>
          <w:b/>
          <w:bCs/>
          <w:sz w:val="20"/>
          <w:szCs w:val="21"/>
          <w:lang w:val="en-US" w:eastAsia="zh-CN"/>
        </w:rPr>
        <w:t xml:space="preserve">. </w:t>
      </w:r>
      <w:r>
        <w:rPr>
          <w:rFonts w:hint="eastAsia" w:ascii="Arial" w:hAnsi="Arial" w:cs="Arial"/>
          <w:b/>
          <w:bCs/>
          <w:sz w:val="20"/>
          <w:szCs w:val="21"/>
          <w:lang w:val="en-US" w:eastAsia="zh-CN"/>
        </w:rPr>
        <w:t>S</w:t>
      </w:r>
      <w:r>
        <w:rPr>
          <w:rFonts w:hint="default" w:ascii="Arial" w:hAnsi="Arial" w:cs="Arial"/>
          <w:b/>
          <w:bCs/>
          <w:sz w:val="20"/>
          <w:szCs w:val="21"/>
          <w:lang w:val="en-US" w:eastAsia="zh-CN"/>
        </w:rPr>
        <w:t xml:space="preserve">ub use cases for L3 </w:t>
      </w:r>
      <w:r>
        <w:rPr>
          <w:rFonts w:hint="eastAsia" w:ascii="Arial" w:hAnsi="Arial" w:cs="Arial"/>
          <w:b/>
          <w:bCs/>
          <w:sz w:val="20"/>
          <w:szCs w:val="21"/>
          <w:lang w:val="en-US" w:eastAsia="zh-CN"/>
        </w:rPr>
        <w:t xml:space="preserve">beam </w:t>
      </w:r>
      <w:r>
        <w:rPr>
          <w:rFonts w:hint="default" w:ascii="Arial" w:hAnsi="Arial" w:cs="Arial"/>
          <w:b/>
          <w:bCs/>
          <w:sz w:val="20"/>
          <w:szCs w:val="21"/>
          <w:lang w:val="en-US" w:eastAsia="zh-CN"/>
        </w:rPr>
        <w:t>level results prediction</w:t>
      </w:r>
    </w:p>
    <w:p w14:paraId="60AF2971">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2: For L3 beam level results prediction, at least the following sub use cases are considered: </w:t>
      </w:r>
    </w:p>
    <w:p w14:paraId="36228BA5">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1: To predict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level results, then generate </w:t>
      </w:r>
      <w:r>
        <w:rPr>
          <w:rFonts w:hint="eastAsia" w:ascii="Arial" w:hAnsi="Arial" w:eastAsia="等线" w:cs="Arial"/>
          <w:b/>
          <w:bCs/>
          <w:kern w:val="0"/>
          <w:sz w:val="20"/>
          <w:szCs w:val="20"/>
          <w:lang w:val="en-US" w:eastAsia="zh-CN"/>
        </w:rPr>
        <w:t>L3 beam</w:t>
      </w:r>
      <w:r>
        <w:rPr>
          <w:rFonts w:hint="default" w:ascii="Arial" w:hAnsi="Arial" w:eastAsia="等线" w:cs="Arial"/>
          <w:b/>
          <w:bCs/>
          <w:kern w:val="0"/>
          <w:sz w:val="20"/>
          <w:szCs w:val="20"/>
          <w:lang w:val="en-US" w:eastAsia="zh-CN"/>
        </w:rPr>
        <w:t xml:space="preserve"> level results based on the predicted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results </w:t>
      </w:r>
    </w:p>
    <w:p w14:paraId="09D1828D">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2: To directly predict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 xml:space="preserve">level results based on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level results</w:t>
      </w:r>
    </w:p>
    <w:p w14:paraId="392A6BE4">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3: To directly predict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 xml:space="preserve">level results based on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beam level results</w:t>
      </w:r>
    </w:p>
    <w:p w14:paraId="0D52096B">
      <w:pPr>
        <w:widowControl/>
        <w:spacing w:after="180"/>
        <w:jc w:val="both"/>
        <w:rPr>
          <w:rFonts w:hint="default" w:ascii="Arial" w:hAnsi="Arial" w:eastAsia="等线" w:cs="Arial"/>
          <w:b w:val="0"/>
          <w:bCs w:val="0"/>
          <w:kern w:val="0"/>
          <w:sz w:val="20"/>
          <w:szCs w:val="20"/>
          <w:lang w:val="en-US" w:eastAsia="zh-CN"/>
        </w:rPr>
      </w:pPr>
      <w:r>
        <w:rPr>
          <w:rFonts w:hint="eastAsia" w:ascii="Arial" w:hAnsi="Arial" w:eastAsia="等线" w:cs="Arial"/>
          <w:b w:val="0"/>
          <w:bCs w:val="0"/>
          <w:kern w:val="0"/>
          <w:sz w:val="20"/>
          <w:szCs w:val="20"/>
          <w:lang w:val="en-US" w:eastAsia="zh-CN"/>
        </w:rPr>
        <w:t>In addition, similar to L3 cell level results prediction, temporal domain, spatial domain and frequency domain prediction can be applied for L3 beam level results prediction.</w:t>
      </w:r>
    </w:p>
    <w:p w14:paraId="1F76CF00">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3: The temporal domain, spatial domain and frequency domain prediction can be applied for L3 beam level results prediction.</w:t>
      </w:r>
    </w:p>
    <w:p w14:paraId="71718FAF">
      <w:pPr>
        <w:spacing w:before="120" w:beforeLines="50" w:after="120" w:line="240" w:lineRule="auto"/>
        <w:rPr>
          <w:rFonts w:ascii="Arial" w:hAnsi="Arial" w:cs="Arial"/>
          <w:bCs/>
          <w:sz w:val="20"/>
          <w:szCs w:val="20"/>
        </w:rPr>
      </w:pPr>
    </w:p>
    <w:p w14:paraId="2AC3967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2.2 E</w:t>
      </w:r>
      <w:bookmarkStart w:id="0" w:name="OLE_LINK67"/>
      <w:r>
        <w:rPr>
          <w:rFonts w:hint="eastAsia" w:ascii="Arial" w:hAnsi="Arial" w:cs="Arial"/>
          <w:b/>
          <w:bCs w:val="0"/>
          <w:sz w:val="28"/>
          <w:szCs w:val="28"/>
          <w:lang w:val="en-US" w:eastAsia="zh-CN"/>
        </w:rPr>
        <w:t>valuation metric</w:t>
      </w:r>
      <w:bookmarkEnd w:id="0"/>
      <w:r>
        <w:rPr>
          <w:rFonts w:hint="eastAsia" w:ascii="Arial" w:hAnsi="Arial" w:cs="Arial"/>
          <w:b/>
          <w:bCs w:val="0"/>
          <w:sz w:val="28"/>
          <w:szCs w:val="28"/>
          <w:lang w:val="en-US" w:eastAsia="zh-CN"/>
        </w:rPr>
        <w:t>s/KPIs</w:t>
      </w:r>
    </w:p>
    <w:p w14:paraId="4BC84149">
      <w:pPr>
        <w:widowControl/>
        <w:spacing w:after="180"/>
        <w:jc w:val="both"/>
        <w:rPr>
          <w:rFonts w:hint="default" w:ascii="Arial" w:hAnsi="Arial" w:eastAsia="等线" w:cs="Arial"/>
          <w:kern w:val="0"/>
          <w:sz w:val="20"/>
          <w:szCs w:val="20"/>
          <w:lang w:val="en-US" w:eastAsia="zh-CN"/>
        </w:rPr>
      </w:pPr>
      <w:r>
        <w:rPr>
          <w:rFonts w:hint="eastAsia" w:ascii="Arial" w:hAnsi="Arial" w:eastAsia="等线" w:cs="Arial"/>
          <w:kern w:val="0"/>
          <w:sz w:val="20"/>
          <w:szCs w:val="20"/>
          <w:lang w:val="en-US" w:eastAsia="zh-CN"/>
        </w:rPr>
        <w:t>RAN2 agreed that the 1st study goal of evaluation is to reduce measurement overhead, and the following definitions were agreed in last meeting for measurement reduction rate:</w:t>
      </w:r>
    </w:p>
    <w:p w14:paraId="4B141D15">
      <w:pPr>
        <w:widowControl/>
        <w:numPr>
          <w:ilvl w:val="0"/>
          <w:numId w:val="8"/>
        </w:numPr>
        <w:spacing w:after="180"/>
        <w:ind w:left="840" w:leftChars="0" w:hanging="420" w:firstLineChars="0"/>
        <w:jc w:val="both"/>
        <w:rPr>
          <w:rFonts w:hint="default" w:ascii="Arial" w:hAnsi="Arial" w:cs="Arial"/>
          <w:sz w:val="20"/>
          <w:szCs w:val="20"/>
        </w:rPr>
      </w:pPr>
      <w:r>
        <w:rPr>
          <w:rFonts w:hint="default" w:ascii="Arial" w:hAnsi="Arial" w:cs="Arial"/>
          <w:sz w:val="20"/>
          <w:szCs w:val="20"/>
        </w:rPr>
        <w:t>Measurement reduction rate in temporal domain (MRRT):</w:t>
      </w:r>
    </w:p>
    <w:p w14:paraId="2052090F">
      <w:pPr>
        <w:widowControl/>
        <w:spacing w:after="180"/>
        <w:ind w:leftChars="500"/>
        <w:jc w:val="both"/>
        <w:rPr>
          <w:rFonts w:hint="default" w:ascii="Arial" w:hAnsi="Arial" w:cs="Arial"/>
          <w:sz w:val="20"/>
          <w:szCs w:val="20"/>
        </w:rPr>
      </w:pPr>
      <w:r>
        <w:rPr>
          <w:rFonts w:hint="default" w:ascii="Arial" w:hAnsi="Arial" w:cs="Arial"/>
          <w:sz w:val="20"/>
          <w:szCs w:val="20"/>
        </w:rPr>
        <w:t xml:space="preserve">MRRT= skipped </w:t>
      </w:r>
      <w:r>
        <w:rPr>
          <w:rFonts w:hint="default" w:ascii="Arial" w:hAnsi="Arial" w:eastAsia="等线" w:cs="Arial"/>
          <w:kern w:val="0"/>
          <w:sz w:val="20"/>
          <w:szCs w:val="20"/>
          <w:lang w:val="en-US" w:eastAsia="zh-CN"/>
        </w:rPr>
        <w:t xml:space="preserve">measurement </w:t>
      </w:r>
      <w:r>
        <w:rPr>
          <w:rFonts w:hint="default" w:ascii="Arial" w:hAnsi="Arial" w:cs="Arial"/>
          <w:sz w:val="20"/>
          <w:szCs w:val="20"/>
        </w:rPr>
        <w:t>time instances / total measurement time instances</w:t>
      </w:r>
    </w:p>
    <w:p w14:paraId="75560C05">
      <w:pPr>
        <w:widowControl/>
        <w:numPr>
          <w:ilvl w:val="0"/>
          <w:numId w:val="8"/>
        </w:numPr>
        <w:spacing w:after="180"/>
        <w:ind w:left="840" w:leftChars="0" w:hanging="420" w:firstLineChars="0"/>
        <w:jc w:val="both"/>
        <w:rPr>
          <w:rFonts w:hint="default" w:ascii="Arial" w:hAnsi="Arial" w:cs="Arial"/>
          <w:sz w:val="20"/>
          <w:szCs w:val="20"/>
        </w:rPr>
      </w:pPr>
      <w:r>
        <w:rPr>
          <w:rFonts w:hint="default" w:ascii="Arial" w:hAnsi="Arial" w:cs="Arial"/>
          <w:sz w:val="20"/>
          <w:szCs w:val="20"/>
        </w:rPr>
        <w:t>Measurement reduction rate in spatial domain (MRRS):</w:t>
      </w:r>
    </w:p>
    <w:p w14:paraId="161E4A98">
      <w:pPr>
        <w:widowControl/>
        <w:spacing w:after="180"/>
        <w:ind w:leftChars="500"/>
        <w:jc w:val="both"/>
        <w:rPr>
          <w:rFonts w:hint="default" w:ascii="Arial" w:hAnsi="Arial" w:cs="Arial"/>
          <w:sz w:val="20"/>
          <w:szCs w:val="20"/>
        </w:rPr>
      </w:pPr>
      <w:r>
        <w:rPr>
          <w:rFonts w:hint="default" w:ascii="Arial" w:hAnsi="Arial" w:cs="Arial"/>
          <w:sz w:val="20"/>
          <w:szCs w:val="20"/>
        </w:rPr>
        <w:t>MRRS = skipped beams to be measured/ total beams to be measured</w:t>
      </w:r>
    </w:p>
    <w:p w14:paraId="485C128D">
      <w:pPr>
        <w:widowControl/>
        <w:spacing w:after="180"/>
        <w:jc w:val="both"/>
        <w:rPr>
          <w:rFonts w:hint="default" w:ascii="Arial" w:hAnsi="Arial" w:eastAsia="等线" w:cs="Arial"/>
          <w:kern w:val="0"/>
          <w:sz w:val="20"/>
          <w:szCs w:val="20"/>
          <w:lang w:val="en-US" w:eastAsia="zh-CN"/>
        </w:rPr>
      </w:pPr>
      <w:r>
        <w:rPr>
          <w:rFonts w:hint="eastAsia" w:ascii="Arial" w:hAnsi="Arial" w:cs="Arial"/>
          <w:sz w:val="20"/>
          <w:szCs w:val="20"/>
          <w:lang w:val="en-US" w:eastAsia="zh-CN"/>
        </w:rPr>
        <w:t xml:space="preserve">For frequency domain prediction, </w:t>
      </w:r>
      <w:r>
        <w:rPr>
          <w:rFonts w:hint="eastAsia" w:ascii="Arial" w:hAnsi="Arial" w:eastAsia="等线" w:cs="Arial"/>
          <w:kern w:val="0"/>
          <w:sz w:val="20"/>
          <w:szCs w:val="20"/>
          <w:lang w:val="en-US" w:eastAsia="zh-CN"/>
        </w:rPr>
        <w:t xml:space="preserve">we think </w:t>
      </w:r>
      <w:r>
        <w:rPr>
          <w:rFonts w:hint="eastAsia" w:ascii="Arial" w:hAnsi="Arial" w:cs="Arial"/>
          <w:sz w:val="20"/>
          <w:szCs w:val="20"/>
          <w:lang w:val="en-US" w:eastAsia="zh-CN"/>
        </w:rPr>
        <w:t xml:space="preserve">measurement gaps reduction rate is also an important metric for evaluation, and the following definition </w:t>
      </w:r>
      <w:r>
        <w:rPr>
          <w:rFonts w:hint="eastAsia" w:ascii="Arial" w:hAnsi="Arial" w:eastAsia="等线" w:cs="Arial"/>
          <w:kern w:val="0"/>
          <w:sz w:val="20"/>
          <w:szCs w:val="20"/>
          <w:lang w:val="en-US" w:eastAsia="zh-CN"/>
        </w:rPr>
        <w:t>can be considered:</w:t>
      </w:r>
    </w:p>
    <w:p w14:paraId="2C414AA3">
      <w:pPr>
        <w:widowControl/>
        <w:numPr>
          <w:ilvl w:val="0"/>
          <w:numId w:val="8"/>
        </w:numPr>
        <w:spacing w:after="180"/>
        <w:ind w:left="840" w:leftChars="0" w:hanging="420" w:firstLineChars="0"/>
        <w:jc w:val="both"/>
        <w:rPr>
          <w:rFonts w:hint="default" w:ascii="Arial" w:hAnsi="Arial" w:cs="Arial"/>
          <w:sz w:val="20"/>
          <w:szCs w:val="20"/>
          <w:lang w:val="en-US" w:eastAsia="zh-CN"/>
        </w:rPr>
      </w:pPr>
      <w:r>
        <w:rPr>
          <w:rFonts w:hint="eastAsia" w:ascii="Arial" w:hAnsi="Arial" w:cs="Arial"/>
          <w:sz w:val="20"/>
          <w:szCs w:val="20"/>
          <w:lang w:val="en-US" w:eastAsia="zh-CN"/>
        </w:rPr>
        <w:t>The measurement gaps reduction rate (MGRR) is:</w:t>
      </w:r>
    </w:p>
    <w:p w14:paraId="50C9F981">
      <w:pPr>
        <w:widowControl/>
        <w:numPr>
          <w:ilvl w:val="0"/>
          <w:numId w:val="0"/>
        </w:numPr>
        <w:spacing w:after="180"/>
        <w:ind w:left="1050" w:leftChars="500"/>
        <w:jc w:val="both"/>
        <w:rPr>
          <w:rFonts w:hint="default" w:ascii="Arial" w:hAnsi="Arial" w:cs="Arial"/>
          <w:sz w:val="20"/>
          <w:szCs w:val="20"/>
          <w:lang w:val="en-US" w:eastAsia="zh-CN"/>
        </w:rPr>
      </w:pPr>
      <w:r>
        <w:rPr>
          <w:rFonts w:hint="eastAsia" w:ascii="Arial" w:hAnsi="Arial" w:cs="Arial"/>
          <w:sz w:val="20"/>
          <w:szCs w:val="20"/>
          <w:lang w:val="en-US" w:eastAsia="zh-CN"/>
        </w:rPr>
        <w:t>MGRR = skipped gaps to be measured / total gaps to be measured</w:t>
      </w:r>
    </w:p>
    <w:p w14:paraId="599FC964">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4: For measurement reduction rate of </w:t>
      </w:r>
      <w:r>
        <w:rPr>
          <w:rFonts w:hint="eastAsia" w:ascii="Arial" w:hAnsi="Arial" w:cs="Arial"/>
          <w:b/>
          <w:bCs/>
          <w:sz w:val="20"/>
          <w:szCs w:val="20"/>
          <w:lang w:val="en-US" w:eastAsia="zh-CN"/>
        </w:rPr>
        <w:t>frequency domain prediction</w:t>
      </w:r>
      <w:r>
        <w:rPr>
          <w:rFonts w:hint="eastAsia" w:ascii="Arial" w:hAnsi="Arial" w:eastAsia="等线" w:cs="Arial"/>
          <w:b/>
          <w:bCs/>
          <w:kern w:val="0"/>
          <w:sz w:val="20"/>
          <w:szCs w:val="20"/>
          <w:lang w:val="en-US" w:eastAsia="zh-CN"/>
        </w:rPr>
        <w:t>, the following definition is considered:</w:t>
      </w:r>
    </w:p>
    <w:p w14:paraId="6A5ACCEC">
      <w:pPr>
        <w:widowControl/>
        <w:numPr>
          <w:ilvl w:val="0"/>
          <w:numId w:val="8"/>
        </w:numPr>
        <w:spacing w:after="180"/>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The measurement gaps reduction rate (MGRR) is: </w:t>
      </w:r>
    </w:p>
    <w:p w14:paraId="2587C9B1">
      <w:pPr>
        <w:widowControl/>
        <w:numPr>
          <w:ilvl w:val="0"/>
          <w:numId w:val="0"/>
        </w:numPr>
        <w:spacing w:after="180"/>
        <w:ind w:left="840" w:left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MGRR = skipped gaps to be measured / total gaps to be measured</w:t>
      </w:r>
    </w:p>
    <w:p w14:paraId="41949468">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In addition, we think the best cell prediction accuracy can be also considered as a metric for </w:t>
      </w:r>
      <w:r>
        <w:rPr>
          <w:rFonts w:hint="default" w:ascii="Arial" w:hAnsi="Arial" w:cs="Arial"/>
          <w:i w:val="0"/>
          <w:sz w:val="20"/>
          <w:szCs w:val="20"/>
        </w:rPr>
        <w:t>the prediction accuracy of</w:t>
      </w:r>
      <w:r>
        <w:rPr>
          <w:rFonts w:hint="eastAsia" w:ascii="Arial" w:hAnsi="Arial" w:cs="Arial"/>
          <w:i w:val="0"/>
          <w:sz w:val="20"/>
          <w:szCs w:val="20"/>
          <w:lang w:val="en-US" w:eastAsia="zh-CN"/>
        </w:rPr>
        <w:t xml:space="preserve"> </w:t>
      </w:r>
      <w:r>
        <w:rPr>
          <w:rFonts w:hint="eastAsia" w:ascii="Arial" w:hAnsi="Arial" w:eastAsia="等线" w:cs="Arial"/>
          <w:kern w:val="0"/>
          <w:sz w:val="20"/>
          <w:szCs w:val="20"/>
          <w:lang w:val="en-US" w:eastAsia="zh-CN"/>
        </w:rPr>
        <w:t xml:space="preserve">cell level measurement prediction, which refers to the percentage of "the actual best cell based on the measurement results is the best cell based on the predicted results", because the network would select one target cell for handover procedure. </w:t>
      </w:r>
    </w:p>
    <w:p w14:paraId="645770D9">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5: The best cell prediction accuracy can be considered as a metric for </w:t>
      </w:r>
      <w:r>
        <w:rPr>
          <w:rFonts w:hint="default" w:ascii="Arial" w:hAnsi="Arial" w:cs="Arial"/>
          <w:b/>
          <w:bCs/>
          <w:i w:val="0"/>
          <w:sz w:val="20"/>
          <w:szCs w:val="20"/>
        </w:rPr>
        <w:t>the prediction accuracy of</w:t>
      </w:r>
      <w:r>
        <w:rPr>
          <w:rFonts w:hint="eastAsia" w:ascii="Arial" w:hAnsi="Arial" w:cs="Arial"/>
          <w:b/>
          <w:bCs/>
          <w:i w:val="0"/>
          <w:sz w:val="20"/>
          <w:szCs w:val="20"/>
          <w:lang w:val="en-US" w:eastAsia="zh-CN"/>
        </w:rPr>
        <w:t xml:space="preserve"> </w:t>
      </w:r>
      <w:r>
        <w:rPr>
          <w:rFonts w:hint="eastAsia" w:ascii="Arial" w:hAnsi="Arial" w:eastAsia="等线" w:cs="Arial"/>
          <w:b/>
          <w:bCs/>
          <w:kern w:val="0"/>
          <w:sz w:val="20"/>
          <w:szCs w:val="20"/>
          <w:lang w:val="en-US" w:eastAsia="zh-CN"/>
        </w:rPr>
        <w:t>cell level measurement prediction.</w:t>
      </w:r>
    </w:p>
    <w:p w14:paraId="53B67FBE">
      <w:pPr>
        <w:widowControl/>
        <w:numPr>
          <w:ilvl w:val="0"/>
          <w:numId w:val="8"/>
        </w:numPr>
        <w:spacing w:after="180"/>
        <w:ind w:left="840" w:leftChars="0" w:hanging="420" w:firstLineChars="0"/>
        <w:jc w:val="both"/>
        <w:rPr>
          <w:rFonts w:ascii="Arial" w:hAnsi="Arial" w:cs="Arial"/>
          <w:bCs/>
          <w:sz w:val="20"/>
          <w:szCs w:val="20"/>
        </w:rPr>
      </w:pPr>
      <w:r>
        <w:rPr>
          <w:rFonts w:hint="eastAsia" w:ascii="Arial" w:hAnsi="Arial" w:cs="Arial"/>
          <w:b/>
          <w:bCs/>
          <w:sz w:val="20"/>
          <w:szCs w:val="20"/>
          <w:lang w:val="en-US" w:eastAsia="zh-CN"/>
        </w:rPr>
        <w:t xml:space="preserve">Best Cell prediction accuracy (%): </w:t>
      </w:r>
      <w:r>
        <w:rPr>
          <w:rFonts w:hint="eastAsia" w:ascii="Arial" w:hAnsi="Arial" w:cs="Arial"/>
          <w:b/>
          <w:bCs/>
          <w:sz w:val="20"/>
          <w:szCs w:val="20"/>
          <w:lang w:val="en-GB" w:eastAsia="en-US"/>
        </w:rPr>
        <w:t>the percentage of "the actual</w:t>
      </w:r>
      <w:r>
        <w:rPr>
          <w:rFonts w:hint="eastAsia" w:ascii="Arial" w:hAnsi="Arial" w:cs="Arial"/>
          <w:b/>
          <w:bCs/>
          <w:sz w:val="20"/>
          <w:szCs w:val="20"/>
          <w:lang w:val="en-US" w:eastAsia="zh-CN"/>
        </w:rPr>
        <w:t xml:space="preserve"> best cell </w:t>
      </w:r>
      <w:r>
        <w:rPr>
          <w:rFonts w:hint="eastAsia" w:ascii="Arial" w:hAnsi="Arial" w:cs="Arial"/>
          <w:b/>
          <w:bCs/>
          <w:sz w:val="20"/>
          <w:szCs w:val="20"/>
          <w:lang w:val="en-GB" w:eastAsia="en-US"/>
        </w:rPr>
        <w:t xml:space="preserve">based on the measurement results is </w:t>
      </w:r>
      <w:r>
        <w:rPr>
          <w:rFonts w:hint="eastAsia" w:ascii="Arial" w:hAnsi="Arial" w:cs="Arial"/>
          <w:b/>
          <w:bCs/>
          <w:sz w:val="20"/>
          <w:szCs w:val="20"/>
          <w:lang w:val="en-US" w:eastAsia="zh-CN"/>
        </w:rPr>
        <w:t xml:space="preserve">the best cell </w:t>
      </w:r>
      <w:r>
        <w:rPr>
          <w:rFonts w:hint="eastAsia" w:ascii="Arial" w:hAnsi="Arial" w:cs="Arial"/>
          <w:b/>
          <w:bCs/>
          <w:sz w:val="20"/>
          <w:szCs w:val="20"/>
          <w:lang w:val="en-GB" w:eastAsia="en-US"/>
        </w:rPr>
        <w:t xml:space="preserve">based on the </w:t>
      </w:r>
      <w:r>
        <w:rPr>
          <w:rFonts w:hint="eastAsia" w:ascii="Arial" w:hAnsi="Arial" w:cs="Arial"/>
          <w:b/>
          <w:bCs/>
          <w:sz w:val="20"/>
          <w:szCs w:val="20"/>
          <w:lang w:val="en-US" w:eastAsia="zh-CN"/>
        </w:rPr>
        <w:t>predicted</w:t>
      </w:r>
      <w:r>
        <w:rPr>
          <w:rFonts w:hint="eastAsia" w:ascii="Arial" w:hAnsi="Arial" w:cs="Arial"/>
          <w:b/>
          <w:bCs/>
          <w:sz w:val="20"/>
          <w:szCs w:val="20"/>
          <w:lang w:val="en-GB" w:eastAsia="en-US"/>
        </w:rPr>
        <w:t xml:space="preserve"> results"</w:t>
      </w:r>
    </w:p>
    <w:p w14:paraId="78692F10">
      <w:pPr>
        <w:widowControl/>
        <w:spacing w:after="180"/>
        <w:jc w:val="both"/>
        <w:rPr>
          <w:rFonts w:hint="eastAsia"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In last meeting, RAN2 agreed that </w:t>
      </w:r>
      <w:r>
        <w:rPr>
          <w:rFonts w:hint="eastAsia" w:ascii="Arial" w:hAnsi="Arial" w:eastAsia="等线" w:cs="Arial"/>
          <w:kern w:val="0"/>
          <w:sz w:val="20"/>
          <w:szCs w:val="20"/>
          <w:lang w:val="en-US" w:eastAsia="zh-CN"/>
        </w:rPr>
        <w:t>w</w:t>
      </w:r>
      <w:r>
        <w:rPr>
          <w:rFonts w:hint="default" w:ascii="Arial" w:hAnsi="Arial" w:eastAsia="等线" w:cs="Arial"/>
          <w:kern w:val="0"/>
          <w:sz w:val="20"/>
          <w:szCs w:val="20"/>
          <w:lang w:val="en-US" w:eastAsia="zh-CN"/>
        </w:rPr>
        <w:t>e will start the evaluation with measurement prediction accuracy and model complexity</w:t>
      </w:r>
      <w:r>
        <w:rPr>
          <w:rFonts w:hint="eastAsia" w:ascii="Arial" w:hAnsi="Arial" w:eastAsia="等线" w:cs="Arial"/>
          <w:kern w:val="0"/>
          <w:sz w:val="20"/>
          <w:szCs w:val="20"/>
          <w:lang w:val="en-US" w:eastAsia="zh-CN"/>
        </w:rPr>
        <w:t>, and w</w:t>
      </w:r>
      <w:r>
        <w:rPr>
          <w:rFonts w:hint="default" w:ascii="Arial" w:hAnsi="Arial" w:eastAsia="等线" w:cs="Arial"/>
          <w:kern w:val="0"/>
          <w:sz w:val="20"/>
          <w:szCs w:val="20"/>
          <w:lang w:val="en-US" w:eastAsia="zh-CN"/>
        </w:rPr>
        <w:t>e can discuss system performance after we see which scenarios have good measurements prediction accuracy.</w:t>
      </w:r>
      <w:r>
        <w:rPr>
          <w:rFonts w:hint="eastAsia" w:ascii="Arial" w:hAnsi="Arial" w:eastAsia="等线" w:cs="Arial"/>
          <w:kern w:val="0"/>
          <w:sz w:val="20"/>
          <w:szCs w:val="20"/>
          <w:lang w:val="en-US" w:eastAsia="zh-CN"/>
        </w:rPr>
        <w:t xml:space="preserve"> However, we think that </w:t>
      </w:r>
      <w:r>
        <w:rPr>
          <w:rFonts w:hint="default" w:ascii="Arial" w:hAnsi="Arial" w:eastAsia="等线" w:cs="Arial"/>
          <w:kern w:val="0"/>
          <w:sz w:val="20"/>
          <w:szCs w:val="20"/>
          <w:lang w:val="en-US" w:eastAsia="zh-CN"/>
        </w:rPr>
        <w:t>system performance</w:t>
      </w:r>
      <w:r>
        <w:rPr>
          <w:rFonts w:hint="eastAsia" w:ascii="Arial" w:hAnsi="Arial" w:eastAsia="等线" w:cs="Arial"/>
          <w:kern w:val="0"/>
          <w:sz w:val="20"/>
          <w:szCs w:val="20"/>
          <w:lang w:val="en-US" w:eastAsia="zh-CN"/>
        </w:rPr>
        <w:t xml:space="preserve"> is also important for evaluation. RAN2 agreed the following evaluation scenario where the target study goal of case 2,3,5,6 is to reduce the measurement overhead. But we think the measurement reduction should keep the mobility performance from degrading, for example, to keep the HO successful rate above a threshold (e.g. 95%) or keep the degrading of HO successful rate below a threshold (e.g. 3%). </w:t>
      </w:r>
    </w:p>
    <w:tbl>
      <w:tblPr>
        <w:tblStyle w:val="15"/>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317"/>
        <w:gridCol w:w="4016"/>
        <w:gridCol w:w="1164"/>
        <w:gridCol w:w="1470"/>
      </w:tblGrid>
      <w:tr w14:paraId="36ED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Pr>
          <w:p w14:paraId="3E4E440B">
            <w:pPr>
              <w:spacing w:after="0"/>
              <w:rPr>
                <w:rFonts w:hint="default" w:ascii="Arial" w:hAnsi="Arial" w:cs="Arial"/>
                <w:sz w:val="20"/>
                <w:szCs w:val="20"/>
              </w:rPr>
            </w:pPr>
            <w:r>
              <w:rPr>
                <w:rFonts w:hint="default" w:ascii="Arial" w:hAnsi="Arial" w:cs="Arial"/>
                <w:sz w:val="20"/>
                <w:szCs w:val="20"/>
              </w:rPr>
              <w:t>Case number</w:t>
            </w:r>
          </w:p>
        </w:tc>
        <w:tc>
          <w:tcPr>
            <w:tcW w:w="1317" w:type="dxa"/>
          </w:tcPr>
          <w:p w14:paraId="01FE0EA7">
            <w:pPr>
              <w:spacing w:after="0"/>
              <w:rPr>
                <w:rFonts w:hint="default" w:ascii="Arial" w:hAnsi="Arial" w:cs="Arial"/>
                <w:sz w:val="20"/>
                <w:szCs w:val="20"/>
              </w:rPr>
            </w:pPr>
            <w:r>
              <w:rPr>
                <w:rFonts w:hint="default" w:ascii="Arial" w:hAnsi="Arial" w:cs="Arial"/>
                <w:sz w:val="20"/>
                <w:szCs w:val="20"/>
              </w:rPr>
              <w:t xml:space="preserve">Prioritization </w:t>
            </w:r>
          </w:p>
        </w:tc>
        <w:tc>
          <w:tcPr>
            <w:tcW w:w="4016" w:type="dxa"/>
          </w:tcPr>
          <w:p w14:paraId="561FB984">
            <w:pPr>
              <w:spacing w:after="0"/>
              <w:rPr>
                <w:rFonts w:hint="default" w:ascii="Arial" w:hAnsi="Arial" w:cs="Arial"/>
                <w:sz w:val="20"/>
                <w:szCs w:val="20"/>
              </w:rPr>
            </w:pPr>
            <w:r>
              <w:rPr>
                <w:rFonts w:hint="default" w:ascii="Arial" w:hAnsi="Arial" w:cs="Arial"/>
                <w:sz w:val="20"/>
                <w:szCs w:val="20"/>
              </w:rPr>
              <w:t>Evaluation scenario combination</w:t>
            </w:r>
          </w:p>
        </w:tc>
        <w:tc>
          <w:tcPr>
            <w:tcW w:w="1164" w:type="dxa"/>
          </w:tcPr>
          <w:p w14:paraId="6EE0492C">
            <w:pPr>
              <w:spacing w:after="0"/>
              <w:rPr>
                <w:rFonts w:hint="default" w:ascii="Arial" w:hAnsi="Arial" w:cs="Arial"/>
                <w:sz w:val="20"/>
                <w:szCs w:val="20"/>
              </w:rPr>
            </w:pPr>
            <w:r>
              <w:rPr>
                <w:rFonts w:hint="default" w:ascii="Arial" w:hAnsi="Arial" w:cs="Arial"/>
                <w:sz w:val="20"/>
                <w:szCs w:val="20"/>
              </w:rPr>
              <w:t>target study goal</w:t>
            </w:r>
          </w:p>
        </w:tc>
        <w:tc>
          <w:tcPr>
            <w:tcW w:w="1470" w:type="dxa"/>
          </w:tcPr>
          <w:p w14:paraId="4126D651">
            <w:pPr>
              <w:spacing w:after="0"/>
              <w:rPr>
                <w:rFonts w:hint="default" w:ascii="Arial" w:hAnsi="Arial" w:cs="Arial"/>
                <w:sz w:val="20"/>
                <w:szCs w:val="20"/>
              </w:rPr>
            </w:pPr>
            <w:r>
              <w:rPr>
                <w:rFonts w:hint="default" w:ascii="Arial" w:hAnsi="Arial" w:cs="Arial"/>
                <w:sz w:val="20"/>
                <w:szCs w:val="20"/>
              </w:rPr>
              <w:t>Methodology</w:t>
            </w:r>
          </w:p>
        </w:tc>
      </w:tr>
      <w:tr w14:paraId="713EF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Pr>
          <w:p w14:paraId="2F495817">
            <w:pPr>
              <w:spacing w:after="0"/>
              <w:rPr>
                <w:rFonts w:hint="default" w:ascii="Arial" w:hAnsi="Arial" w:cs="Arial"/>
                <w:sz w:val="20"/>
                <w:szCs w:val="20"/>
              </w:rPr>
            </w:pPr>
            <w:r>
              <w:rPr>
                <w:rFonts w:hint="default" w:ascii="Arial" w:hAnsi="Arial" w:cs="Arial"/>
                <w:sz w:val="20"/>
                <w:szCs w:val="20"/>
              </w:rPr>
              <w:t>1</w:t>
            </w:r>
          </w:p>
        </w:tc>
        <w:tc>
          <w:tcPr>
            <w:tcW w:w="1317" w:type="dxa"/>
          </w:tcPr>
          <w:p w14:paraId="718E374B">
            <w:pPr>
              <w:spacing w:after="0"/>
              <w:rPr>
                <w:rFonts w:hint="default" w:ascii="Arial" w:hAnsi="Arial" w:cs="Arial"/>
                <w:sz w:val="20"/>
                <w:szCs w:val="20"/>
              </w:rPr>
            </w:pPr>
            <w:r>
              <w:rPr>
                <w:rFonts w:hint="default" w:ascii="Arial" w:hAnsi="Arial" w:cs="Arial"/>
                <w:sz w:val="20"/>
                <w:szCs w:val="20"/>
              </w:rPr>
              <w:t>Low</w:t>
            </w:r>
          </w:p>
        </w:tc>
        <w:tc>
          <w:tcPr>
            <w:tcW w:w="4016" w:type="dxa"/>
          </w:tcPr>
          <w:p w14:paraId="5F9B6E9B">
            <w:pPr>
              <w:spacing w:after="0"/>
              <w:rPr>
                <w:rFonts w:hint="default" w:ascii="Arial" w:hAnsi="Arial" w:cs="Arial"/>
                <w:sz w:val="20"/>
                <w:szCs w:val="20"/>
              </w:rPr>
            </w:pPr>
            <w:r>
              <w:rPr>
                <w:rFonts w:hint="default" w:ascii="Arial" w:hAnsi="Arial" w:cs="Arial"/>
                <w:sz w:val="20"/>
                <w:szCs w:val="20"/>
              </w:rPr>
              <w:t>FR1 to FR1 intra-frequency temporal domain case A</w:t>
            </w:r>
          </w:p>
        </w:tc>
        <w:tc>
          <w:tcPr>
            <w:tcW w:w="1164" w:type="dxa"/>
          </w:tcPr>
          <w:p w14:paraId="673A3917">
            <w:pPr>
              <w:spacing w:after="0"/>
              <w:rPr>
                <w:rFonts w:hint="default" w:ascii="Arial" w:hAnsi="Arial" w:cs="Arial"/>
                <w:sz w:val="20"/>
                <w:szCs w:val="20"/>
              </w:rPr>
            </w:pPr>
            <w:r>
              <w:rPr>
                <w:rFonts w:hint="default" w:ascii="Arial" w:hAnsi="Arial" w:cs="Arial"/>
                <w:sz w:val="20"/>
                <w:szCs w:val="20"/>
              </w:rPr>
              <w:t>2</w:t>
            </w:r>
            <w:r>
              <w:rPr>
                <w:rFonts w:hint="default" w:ascii="Arial" w:hAnsi="Arial" w:cs="Arial"/>
                <w:sz w:val="20"/>
                <w:szCs w:val="20"/>
                <w:vertAlign w:val="superscript"/>
              </w:rPr>
              <w:t>nd</w:t>
            </w:r>
            <w:r>
              <w:rPr>
                <w:rFonts w:hint="default" w:ascii="Arial" w:hAnsi="Arial" w:cs="Arial"/>
                <w:sz w:val="20"/>
                <w:szCs w:val="20"/>
              </w:rPr>
              <w:t xml:space="preserve">   goal</w:t>
            </w:r>
          </w:p>
        </w:tc>
        <w:tc>
          <w:tcPr>
            <w:tcW w:w="1470" w:type="dxa"/>
          </w:tcPr>
          <w:p w14:paraId="5757E99C">
            <w:pPr>
              <w:spacing w:after="0"/>
              <w:rPr>
                <w:rFonts w:hint="default" w:ascii="Arial" w:hAnsi="Arial" w:cs="Arial"/>
                <w:sz w:val="20"/>
                <w:szCs w:val="20"/>
              </w:rPr>
            </w:pPr>
            <w:r>
              <w:rPr>
                <w:rFonts w:hint="default" w:ascii="Arial" w:hAnsi="Arial" w:cs="Arial"/>
                <w:sz w:val="20"/>
                <w:szCs w:val="20"/>
              </w:rPr>
              <w:t>TBD</w:t>
            </w:r>
          </w:p>
        </w:tc>
      </w:tr>
      <w:tr w14:paraId="3800A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Pr>
          <w:p w14:paraId="1F0633E1">
            <w:pPr>
              <w:spacing w:after="0"/>
              <w:rPr>
                <w:rFonts w:hint="default" w:ascii="Arial" w:hAnsi="Arial" w:cs="Arial"/>
                <w:sz w:val="20"/>
                <w:szCs w:val="20"/>
              </w:rPr>
            </w:pPr>
            <w:r>
              <w:rPr>
                <w:rFonts w:hint="default" w:ascii="Arial" w:hAnsi="Arial" w:cs="Arial"/>
                <w:sz w:val="20"/>
                <w:szCs w:val="20"/>
              </w:rPr>
              <w:t>2</w:t>
            </w:r>
          </w:p>
        </w:tc>
        <w:tc>
          <w:tcPr>
            <w:tcW w:w="1317" w:type="dxa"/>
          </w:tcPr>
          <w:p w14:paraId="677AAC7F">
            <w:pPr>
              <w:spacing w:after="0"/>
              <w:rPr>
                <w:rFonts w:hint="default" w:ascii="Arial" w:hAnsi="Arial" w:cs="Arial"/>
                <w:sz w:val="20"/>
                <w:szCs w:val="20"/>
              </w:rPr>
            </w:pPr>
            <w:r>
              <w:rPr>
                <w:rFonts w:hint="default" w:ascii="Arial" w:hAnsi="Arial" w:cs="Arial"/>
                <w:sz w:val="20"/>
                <w:szCs w:val="20"/>
              </w:rPr>
              <w:t>High</w:t>
            </w:r>
          </w:p>
        </w:tc>
        <w:tc>
          <w:tcPr>
            <w:tcW w:w="4016" w:type="dxa"/>
          </w:tcPr>
          <w:p w14:paraId="5E8F8B82">
            <w:pPr>
              <w:spacing w:after="0"/>
              <w:rPr>
                <w:rFonts w:hint="default" w:ascii="Arial" w:hAnsi="Arial" w:cs="Arial"/>
                <w:sz w:val="20"/>
                <w:szCs w:val="20"/>
              </w:rPr>
            </w:pPr>
            <w:r>
              <w:rPr>
                <w:rFonts w:hint="default" w:ascii="Arial" w:hAnsi="Arial" w:cs="Arial"/>
                <w:sz w:val="20"/>
                <w:szCs w:val="20"/>
              </w:rPr>
              <w:t>FR1 to FR1 intra-frequency temporal domain case B</w:t>
            </w:r>
          </w:p>
        </w:tc>
        <w:tc>
          <w:tcPr>
            <w:tcW w:w="1164" w:type="dxa"/>
          </w:tcPr>
          <w:p w14:paraId="4D5887E2">
            <w:pPr>
              <w:spacing w:after="0"/>
              <w:rPr>
                <w:rFonts w:hint="default" w:ascii="Arial" w:hAnsi="Arial" w:cs="Arial"/>
                <w:sz w:val="20"/>
                <w:szCs w:val="20"/>
              </w:rPr>
            </w:pPr>
            <w:r>
              <w:rPr>
                <w:rFonts w:hint="default" w:ascii="Arial" w:hAnsi="Arial" w:cs="Arial"/>
                <w:sz w:val="20"/>
                <w:szCs w:val="20"/>
              </w:rPr>
              <w:t>1</w:t>
            </w:r>
            <w:r>
              <w:rPr>
                <w:rFonts w:hint="default" w:ascii="Arial" w:hAnsi="Arial" w:cs="Arial"/>
                <w:sz w:val="20"/>
                <w:szCs w:val="20"/>
                <w:vertAlign w:val="superscript"/>
              </w:rPr>
              <w:t>st</w:t>
            </w:r>
            <w:r>
              <w:rPr>
                <w:rFonts w:hint="default" w:ascii="Arial" w:hAnsi="Arial" w:cs="Arial"/>
                <w:sz w:val="20"/>
                <w:szCs w:val="20"/>
              </w:rPr>
              <w:t xml:space="preserve">  goal</w:t>
            </w:r>
          </w:p>
        </w:tc>
        <w:tc>
          <w:tcPr>
            <w:tcW w:w="1470" w:type="dxa"/>
          </w:tcPr>
          <w:p w14:paraId="45FBA281">
            <w:pPr>
              <w:spacing w:after="0"/>
              <w:rPr>
                <w:rFonts w:hint="default" w:ascii="Arial" w:hAnsi="Arial" w:cs="Arial"/>
                <w:sz w:val="20"/>
                <w:szCs w:val="20"/>
                <w:vertAlign w:val="superscript"/>
              </w:rPr>
            </w:pPr>
            <w:r>
              <w:rPr>
                <w:rFonts w:hint="default" w:ascii="Arial" w:hAnsi="Arial" w:cs="Arial"/>
                <w:sz w:val="20"/>
                <w:szCs w:val="20"/>
              </w:rPr>
              <w:t>Intra-cell</w:t>
            </w:r>
          </w:p>
        </w:tc>
      </w:tr>
      <w:tr w14:paraId="11656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Pr>
          <w:p w14:paraId="63AB7AB7">
            <w:pPr>
              <w:spacing w:after="0"/>
              <w:rPr>
                <w:rFonts w:hint="default" w:ascii="Arial" w:hAnsi="Arial" w:cs="Arial"/>
                <w:sz w:val="20"/>
                <w:szCs w:val="20"/>
              </w:rPr>
            </w:pPr>
            <w:r>
              <w:rPr>
                <w:rFonts w:hint="default" w:ascii="Arial" w:hAnsi="Arial" w:cs="Arial"/>
                <w:sz w:val="20"/>
                <w:szCs w:val="20"/>
              </w:rPr>
              <w:t>3</w:t>
            </w:r>
          </w:p>
        </w:tc>
        <w:tc>
          <w:tcPr>
            <w:tcW w:w="1317" w:type="dxa"/>
          </w:tcPr>
          <w:p w14:paraId="64382185">
            <w:pPr>
              <w:spacing w:after="0"/>
              <w:rPr>
                <w:rFonts w:hint="default" w:ascii="Arial" w:hAnsi="Arial" w:cs="Arial"/>
                <w:sz w:val="20"/>
                <w:szCs w:val="20"/>
              </w:rPr>
            </w:pPr>
            <w:r>
              <w:rPr>
                <w:rFonts w:hint="default" w:ascii="Arial" w:hAnsi="Arial" w:cs="Arial"/>
                <w:sz w:val="20"/>
                <w:szCs w:val="20"/>
              </w:rPr>
              <w:t>High</w:t>
            </w:r>
          </w:p>
        </w:tc>
        <w:tc>
          <w:tcPr>
            <w:tcW w:w="4016" w:type="dxa"/>
          </w:tcPr>
          <w:p w14:paraId="0AF151EC">
            <w:pPr>
              <w:spacing w:after="0"/>
              <w:rPr>
                <w:rFonts w:hint="default" w:ascii="Arial" w:hAnsi="Arial" w:cs="Arial"/>
                <w:sz w:val="20"/>
                <w:szCs w:val="20"/>
              </w:rPr>
            </w:pPr>
            <w:r>
              <w:rPr>
                <w:rFonts w:hint="default" w:ascii="Arial" w:hAnsi="Arial" w:cs="Arial"/>
                <w:sz w:val="20"/>
                <w:szCs w:val="20"/>
              </w:rPr>
              <w:t>FR1 to FR1 inter-frequency (frequency domain)</w:t>
            </w:r>
          </w:p>
        </w:tc>
        <w:tc>
          <w:tcPr>
            <w:tcW w:w="1164" w:type="dxa"/>
          </w:tcPr>
          <w:p w14:paraId="7000BFDC">
            <w:pPr>
              <w:spacing w:after="0"/>
              <w:rPr>
                <w:rFonts w:hint="default" w:ascii="Arial" w:hAnsi="Arial" w:cs="Arial"/>
                <w:sz w:val="20"/>
                <w:szCs w:val="20"/>
              </w:rPr>
            </w:pPr>
            <w:r>
              <w:rPr>
                <w:rFonts w:hint="default" w:ascii="Arial" w:hAnsi="Arial" w:cs="Arial"/>
                <w:sz w:val="20"/>
                <w:szCs w:val="20"/>
              </w:rPr>
              <w:t>1</w:t>
            </w:r>
            <w:r>
              <w:rPr>
                <w:rFonts w:hint="default" w:ascii="Arial" w:hAnsi="Arial" w:cs="Arial"/>
                <w:sz w:val="20"/>
                <w:szCs w:val="20"/>
                <w:vertAlign w:val="superscript"/>
              </w:rPr>
              <w:t>st</w:t>
            </w:r>
            <w:r>
              <w:rPr>
                <w:rFonts w:hint="default" w:ascii="Arial" w:hAnsi="Arial" w:cs="Arial"/>
                <w:sz w:val="20"/>
                <w:szCs w:val="20"/>
              </w:rPr>
              <w:t xml:space="preserve"> goal</w:t>
            </w:r>
          </w:p>
        </w:tc>
        <w:tc>
          <w:tcPr>
            <w:tcW w:w="1470" w:type="dxa"/>
          </w:tcPr>
          <w:p w14:paraId="45BABFAE">
            <w:pPr>
              <w:spacing w:after="0"/>
              <w:rPr>
                <w:rFonts w:hint="default" w:ascii="Arial" w:hAnsi="Arial" w:cs="Arial"/>
                <w:sz w:val="20"/>
                <w:szCs w:val="20"/>
              </w:rPr>
            </w:pPr>
            <w:r>
              <w:rPr>
                <w:rFonts w:hint="default" w:ascii="Arial" w:hAnsi="Arial" w:cs="Arial"/>
                <w:sz w:val="20"/>
                <w:szCs w:val="20"/>
              </w:rPr>
              <w:t xml:space="preserve">Inter-cell </w:t>
            </w:r>
          </w:p>
        </w:tc>
      </w:tr>
      <w:tr w14:paraId="3813A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Pr>
          <w:p w14:paraId="581F4FC4">
            <w:pPr>
              <w:spacing w:after="0"/>
              <w:rPr>
                <w:rFonts w:hint="default" w:ascii="Arial" w:hAnsi="Arial" w:cs="Arial"/>
                <w:sz w:val="20"/>
                <w:szCs w:val="20"/>
                <w:highlight w:val="none"/>
              </w:rPr>
            </w:pPr>
            <w:r>
              <w:rPr>
                <w:rFonts w:hint="default" w:ascii="Arial" w:hAnsi="Arial" w:cs="Arial"/>
                <w:sz w:val="20"/>
                <w:szCs w:val="20"/>
                <w:highlight w:val="none"/>
              </w:rPr>
              <w:t>4</w:t>
            </w:r>
          </w:p>
        </w:tc>
        <w:tc>
          <w:tcPr>
            <w:tcW w:w="1317" w:type="dxa"/>
          </w:tcPr>
          <w:p w14:paraId="686D6519">
            <w:pPr>
              <w:spacing w:after="0"/>
              <w:rPr>
                <w:rFonts w:hint="default" w:ascii="Arial" w:hAnsi="Arial" w:cs="Arial"/>
                <w:sz w:val="20"/>
                <w:szCs w:val="20"/>
                <w:highlight w:val="none"/>
              </w:rPr>
            </w:pPr>
            <w:r>
              <w:rPr>
                <w:rFonts w:hint="default" w:ascii="Arial" w:hAnsi="Arial" w:cs="Arial"/>
                <w:sz w:val="20"/>
                <w:szCs w:val="20"/>
                <w:highlight w:val="none"/>
              </w:rPr>
              <w:t>High</w:t>
            </w:r>
          </w:p>
        </w:tc>
        <w:tc>
          <w:tcPr>
            <w:tcW w:w="4016" w:type="dxa"/>
          </w:tcPr>
          <w:p w14:paraId="5CBCD715">
            <w:pPr>
              <w:spacing w:after="0"/>
              <w:rPr>
                <w:rFonts w:hint="default" w:ascii="Arial" w:hAnsi="Arial" w:cs="Arial"/>
                <w:sz w:val="20"/>
                <w:szCs w:val="20"/>
                <w:highlight w:val="none"/>
              </w:rPr>
            </w:pPr>
            <w:bookmarkStart w:id="1" w:name="_Hlk173503946"/>
            <w:r>
              <w:rPr>
                <w:rFonts w:hint="default" w:ascii="Arial" w:hAnsi="Arial" w:cs="Arial"/>
                <w:sz w:val="20"/>
                <w:szCs w:val="20"/>
                <w:highlight w:val="none"/>
              </w:rPr>
              <w:t>FR2 to FR2 intra-frequency temporal domain case A</w:t>
            </w:r>
            <w:bookmarkEnd w:id="1"/>
          </w:p>
        </w:tc>
        <w:tc>
          <w:tcPr>
            <w:tcW w:w="1164" w:type="dxa"/>
          </w:tcPr>
          <w:p w14:paraId="16BCEB30">
            <w:pPr>
              <w:spacing w:after="0"/>
              <w:rPr>
                <w:rFonts w:hint="default" w:ascii="Arial" w:hAnsi="Arial" w:cs="Arial"/>
                <w:sz w:val="20"/>
                <w:szCs w:val="20"/>
                <w:highlight w:val="none"/>
              </w:rPr>
            </w:pPr>
            <w:r>
              <w:rPr>
                <w:rFonts w:hint="default" w:ascii="Arial" w:hAnsi="Arial" w:cs="Arial"/>
                <w:sz w:val="20"/>
                <w:szCs w:val="20"/>
                <w:highlight w:val="none"/>
              </w:rPr>
              <w:t>2</w:t>
            </w:r>
            <w:r>
              <w:rPr>
                <w:rFonts w:hint="default" w:ascii="Arial" w:hAnsi="Arial" w:cs="Arial"/>
                <w:sz w:val="20"/>
                <w:szCs w:val="20"/>
                <w:highlight w:val="none"/>
                <w:vertAlign w:val="superscript"/>
              </w:rPr>
              <w:t>nd</w:t>
            </w:r>
            <w:r>
              <w:rPr>
                <w:rFonts w:hint="default" w:ascii="Arial" w:hAnsi="Arial" w:cs="Arial"/>
                <w:sz w:val="20"/>
                <w:szCs w:val="20"/>
                <w:highlight w:val="none"/>
              </w:rPr>
              <w:t xml:space="preserve"> goal</w:t>
            </w:r>
          </w:p>
        </w:tc>
        <w:tc>
          <w:tcPr>
            <w:tcW w:w="1470" w:type="dxa"/>
          </w:tcPr>
          <w:p w14:paraId="3E25008C">
            <w:pPr>
              <w:spacing w:after="0"/>
              <w:rPr>
                <w:rFonts w:hint="default" w:ascii="Arial" w:hAnsi="Arial" w:cs="Arial"/>
                <w:sz w:val="20"/>
                <w:szCs w:val="20"/>
                <w:highlight w:val="none"/>
              </w:rPr>
            </w:pPr>
            <w:r>
              <w:rPr>
                <w:rFonts w:hint="default" w:ascii="Arial" w:hAnsi="Arial" w:cs="Arial"/>
                <w:sz w:val="20"/>
                <w:szCs w:val="20"/>
                <w:highlight w:val="none"/>
              </w:rPr>
              <w:t>Intra-cell</w:t>
            </w:r>
          </w:p>
        </w:tc>
      </w:tr>
      <w:tr w14:paraId="5CA46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Pr>
          <w:p w14:paraId="5CA9C7B2">
            <w:pPr>
              <w:spacing w:after="0"/>
              <w:rPr>
                <w:rFonts w:hint="default" w:ascii="Arial" w:hAnsi="Arial" w:cs="Arial"/>
                <w:sz w:val="20"/>
                <w:szCs w:val="20"/>
              </w:rPr>
            </w:pPr>
            <w:r>
              <w:rPr>
                <w:rFonts w:hint="default" w:ascii="Arial" w:hAnsi="Arial" w:cs="Arial"/>
                <w:sz w:val="20"/>
                <w:szCs w:val="20"/>
              </w:rPr>
              <w:t>5</w:t>
            </w:r>
          </w:p>
        </w:tc>
        <w:tc>
          <w:tcPr>
            <w:tcW w:w="1317" w:type="dxa"/>
          </w:tcPr>
          <w:p w14:paraId="794213F5">
            <w:pPr>
              <w:spacing w:after="0"/>
              <w:rPr>
                <w:rFonts w:hint="default" w:ascii="Arial" w:hAnsi="Arial" w:cs="Arial"/>
                <w:sz w:val="20"/>
                <w:szCs w:val="20"/>
              </w:rPr>
            </w:pPr>
            <w:r>
              <w:rPr>
                <w:rFonts w:hint="default" w:ascii="Arial" w:hAnsi="Arial" w:cs="Arial"/>
                <w:sz w:val="20"/>
                <w:szCs w:val="20"/>
              </w:rPr>
              <w:t>Low</w:t>
            </w:r>
          </w:p>
        </w:tc>
        <w:tc>
          <w:tcPr>
            <w:tcW w:w="4016" w:type="dxa"/>
          </w:tcPr>
          <w:p w14:paraId="731F8067">
            <w:pPr>
              <w:spacing w:after="0"/>
              <w:rPr>
                <w:rFonts w:hint="default" w:ascii="Arial" w:hAnsi="Arial" w:cs="Arial"/>
                <w:sz w:val="20"/>
                <w:szCs w:val="20"/>
              </w:rPr>
            </w:pPr>
            <w:r>
              <w:rPr>
                <w:rFonts w:hint="default" w:ascii="Arial" w:hAnsi="Arial" w:cs="Arial"/>
                <w:sz w:val="20"/>
                <w:szCs w:val="20"/>
              </w:rPr>
              <w:t>FR2 to FR2 intra-frequency temporal domain case B</w:t>
            </w:r>
          </w:p>
        </w:tc>
        <w:tc>
          <w:tcPr>
            <w:tcW w:w="1164" w:type="dxa"/>
          </w:tcPr>
          <w:p w14:paraId="5456EE95">
            <w:pPr>
              <w:spacing w:after="0"/>
              <w:rPr>
                <w:rFonts w:hint="default" w:ascii="Arial" w:hAnsi="Arial" w:cs="Arial"/>
                <w:sz w:val="20"/>
                <w:szCs w:val="20"/>
              </w:rPr>
            </w:pPr>
            <w:r>
              <w:rPr>
                <w:rFonts w:hint="default" w:ascii="Arial" w:hAnsi="Arial" w:cs="Arial"/>
                <w:sz w:val="20"/>
                <w:szCs w:val="20"/>
              </w:rPr>
              <w:t>1</w:t>
            </w:r>
            <w:r>
              <w:rPr>
                <w:rFonts w:hint="default" w:ascii="Arial" w:hAnsi="Arial" w:cs="Arial"/>
                <w:sz w:val="20"/>
                <w:szCs w:val="20"/>
                <w:vertAlign w:val="superscript"/>
              </w:rPr>
              <w:t>st</w:t>
            </w:r>
            <w:r>
              <w:rPr>
                <w:rFonts w:hint="default" w:ascii="Arial" w:hAnsi="Arial" w:cs="Arial"/>
                <w:sz w:val="20"/>
                <w:szCs w:val="20"/>
              </w:rPr>
              <w:t xml:space="preserve"> goal</w:t>
            </w:r>
          </w:p>
        </w:tc>
        <w:tc>
          <w:tcPr>
            <w:tcW w:w="1470" w:type="dxa"/>
          </w:tcPr>
          <w:p w14:paraId="7565B2BC">
            <w:pPr>
              <w:spacing w:after="0"/>
              <w:rPr>
                <w:rFonts w:hint="default" w:ascii="Arial" w:hAnsi="Arial" w:cs="Arial"/>
                <w:sz w:val="20"/>
                <w:szCs w:val="20"/>
              </w:rPr>
            </w:pPr>
            <w:r>
              <w:rPr>
                <w:rFonts w:hint="default" w:ascii="Arial" w:hAnsi="Arial" w:cs="Arial"/>
                <w:sz w:val="20"/>
                <w:szCs w:val="20"/>
              </w:rPr>
              <w:t>TBD</w:t>
            </w:r>
          </w:p>
        </w:tc>
      </w:tr>
      <w:tr w14:paraId="7D678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Pr>
          <w:p w14:paraId="3484E157">
            <w:pPr>
              <w:spacing w:after="0"/>
              <w:rPr>
                <w:rFonts w:hint="default" w:ascii="Arial" w:hAnsi="Arial" w:cs="Arial"/>
                <w:sz w:val="20"/>
                <w:szCs w:val="20"/>
              </w:rPr>
            </w:pPr>
            <w:r>
              <w:rPr>
                <w:rFonts w:hint="default" w:ascii="Arial" w:hAnsi="Arial" w:cs="Arial"/>
                <w:sz w:val="20"/>
                <w:szCs w:val="20"/>
              </w:rPr>
              <w:t>6</w:t>
            </w:r>
          </w:p>
        </w:tc>
        <w:tc>
          <w:tcPr>
            <w:tcW w:w="1317" w:type="dxa"/>
          </w:tcPr>
          <w:p w14:paraId="0B421413">
            <w:pPr>
              <w:spacing w:after="0"/>
              <w:rPr>
                <w:rFonts w:hint="default" w:ascii="Arial" w:hAnsi="Arial" w:cs="Arial"/>
                <w:sz w:val="20"/>
                <w:szCs w:val="20"/>
              </w:rPr>
            </w:pPr>
            <w:r>
              <w:rPr>
                <w:rFonts w:hint="default" w:ascii="Arial" w:hAnsi="Arial" w:cs="Arial"/>
                <w:sz w:val="20"/>
                <w:szCs w:val="20"/>
              </w:rPr>
              <w:t>Middle</w:t>
            </w:r>
          </w:p>
        </w:tc>
        <w:tc>
          <w:tcPr>
            <w:tcW w:w="4016" w:type="dxa"/>
          </w:tcPr>
          <w:p w14:paraId="5C6EF8C4">
            <w:pPr>
              <w:spacing w:after="0"/>
              <w:rPr>
                <w:rFonts w:hint="default" w:ascii="Arial" w:hAnsi="Arial" w:cs="Arial"/>
                <w:sz w:val="20"/>
                <w:szCs w:val="20"/>
              </w:rPr>
            </w:pPr>
            <w:r>
              <w:rPr>
                <w:rFonts w:hint="default" w:ascii="Arial" w:hAnsi="Arial" w:cs="Arial"/>
                <w:sz w:val="20"/>
                <w:szCs w:val="20"/>
              </w:rPr>
              <w:t>FR2 to FR2 intra-frequency spatial domain</w:t>
            </w:r>
          </w:p>
        </w:tc>
        <w:tc>
          <w:tcPr>
            <w:tcW w:w="1164" w:type="dxa"/>
          </w:tcPr>
          <w:p w14:paraId="0AC5E707">
            <w:pPr>
              <w:spacing w:after="0"/>
              <w:rPr>
                <w:rFonts w:hint="default" w:ascii="Arial" w:hAnsi="Arial" w:cs="Arial"/>
                <w:sz w:val="20"/>
                <w:szCs w:val="20"/>
              </w:rPr>
            </w:pPr>
            <w:r>
              <w:rPr>
                <w:rFonts w:hint="default" w:ascii="Arial" w:hAnsi="Arial" w:cs="Arial"/>
                <w:sz w:val="20"/>
                <w:szCs w:val="20"/>
              </w:rPr>
              <w:t>1</w:t>
            </w:r>
            <w:r>
              <w:rPr>
                <w:rFonts w:hint="default" w:ascii="Arial" w:hAnsi="Arial" w:cs="Arial"/>
                <w:sz w:val="20"/>
                <w:szCs w:val="20"/>
                <w:vertAlign w:val="superscript"/>
              </w:rPr>
              <w:t>st</w:t>
            </w:r>
            <w:r>
              <w:rPr>
                <w:rFonts w:hint="default" w:ascii="Arial" w:hAnsi="Arial" w:cs="Arial"/>
                <w:sz w:val="20"/>
                <w:szCs w:val="20"/>
              </w:rPr>
              <w:t xml:space="preserve">  goal</w:t>
            </w:r>
          </w:p>
        </w:tc>
        <w:tc>
          <w:tcPr>
            <w:tcW w:w="1470" w:type="dxa"/>
          </w:tcPr>
          <w:p w14:paraId="39060B62">
            <w:pPr>
              <w:spacing w:after="0"/>
              <w:rPr>
                <w:rFonts w:hint="default" w:ascii="Arial" w:hAnsi="Arial" w:cs="Arial"/>
                <w:sz w:val="20"/>
                <w:szCs w:val="20"/>
              </w:rPr>
            </w:pPr>
            <w:r>
              <w:rPr>
                <w:rFonts w:hint="default" w:ascii="Arial" w:hAnsi="Arial" w:cs="Arial"/>
                <w:sz w:val="20"/>
                <w:szCs w:val="20"/>
              </w:rPr>
              <w:t>Intra-cell</w:t>
            </w:r>
          </w:p>
        </w:tc>
      </w:tr>
    </w:tbl>
    <w:p w14:paraId="078BF6F1">
      <w:pPr>
        <w:keepNext w:val="0"/>
        <w:keepLines w:val="0"/>
        <w:pageBreakBefore w:val="0"/>
        <w:widowControl/>
        <w:kinsoku/>
        <w:wordWrap/>
        <w:overflowPunct/>
        <w:topLinePunct w:val="0"/>
        <w:autoSpaceDE/>
        <w:autoSpaceDN/>
        <w:bidi w:val="0"/>
        <w:adjustRightInd/>
        <w:snapToGrid/>
        <w:spacing w:before="0" w:beforeLines="50" w:after="180"/>
        <w:jc w:val="both"/>
        <w:textAlignment w:val="auto"/>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2: The measurement reduction should keep the mobility performance from degrading, for example, to keep the HO successful rate above a threshold (e.g. 95%) or keep the degrading of HO successful rate below a threshold (e.g. 3%).</w:t>
      </w:r>
    </w:p>
    <w:p w14:paraId="5AFFD779">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In addition, we understand that the measurement prediction accuracy does not always exhibit a direct positive correlation with handover performance. That is, the high </w:t>
      </w:r>
      <w:r>
        <w:rPr>
          <w:rFonts w:hint="default" w:ascii="Arial" w:hAnsi="Arial" w:eastAsia="等线" w:cs="Arial"/>
          <w:kern w:val="0"/>
          <w:sz w:val="20"/>
          <w:szCs w:val="20"/>
          <w:lang w:val="en-US" w:eastAsia="zh-CN"/>
        </w:rPr>
        <w:t>measurement prediction</w:t>
      </w:r>
      <w:r>
        <w:rPr>
          <w:rFonts w:hint="eastAsia" w:ascii="Arial" w:hAnsi="Arial" w:eastAsia="等线" w:cs="Arial"/>
          <w:kern w:val="0"/>
          <w:sz w:val="20"/>
          <w:szCs w:val="20"/>
          <w:lang w:val="en-US" w:eastAsia="zh-CN"/>
        </w:rPr>
        <w:t xml:space="preserve"> accuracy (e.g. RSRP difference to the actual measurement is less than 1dBm) does not inherently guarantee the superior handover performance. Furthermore, even when the </w:t>
      </w:r>
      <w:r>
        <w:rPr>
          <w:rFonts w:hint="default" w:ascii="Arial" w:hAnsi="Arial" w:eastAsia="等线" w:cs="Arial"/>
          <w:kern w:val="0"/>
          <w:sz w:val="20"/>
          <w:szCs w:val="20"/>
          <w:lang w:val="en-US" w:eastAsia="zh-CN"/>
        </w:rPr>
        <w:t>measurement prediction accuracy</w:t>
      </w:r>
      <w:r>
        <w:rPr>
          <w:rFonts w:hint="eastAsia" w:ascii="Arial" w:hAnsi="Arial" w:eastAsia="等线" w:cs="Arial"/>
          <w:kern w:val="0"/>
          <w:sz w:val="20"/>
          <w:szCs w:val="20"/>
          <w:lang w:val="en-US" w:eastAsia="zh-CN"/>
        </w:rPr>
        <w:t xml:space="preserve"> is less than optimal, the handover</w:t>
      </w:r>
      <w:r>
        <w:rPr>
          <w:rFonts w:hint="default" w:ascii="Arial" w:hAnsi="Arial" w:eastAsia="等线" w:cs="Arial"/>
          <w:kern w:val="0"/>
          <w:sz w:val="20"/>
          <w:szCs w:val="20"/>
          <w:lang w:val="en-US" w:eastAsia="zh-CN"/>
        </w:rPr>
        <w:t xml:space="preserve"> performance</w:t>
      </w:r>
      <w:r>
        <w:rPr>
          <w:rFonts w:hint="eastAsia" w:ascii="Arial" w:hAnsi="Arial" w:eastAsia="等线" w:cs="Arial"/>
          <w:kern w:val="0"/>
          <w:sz w:val="20"/>
          <w:szCs w:val="20"/>
          <w:lang w:val="en-US" w:eastAsia="zh-CN"/>
        </w:rPr>
        <w:t xml:space="preserve"> can still be satisfactory. </w:t>
      </w:r>
    </w:p>
    <w:p w14:paraId="0B4C2C23">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3: The measurement prediction accuracy does not always exhibit a direct positive correlation with handover performance.</w:t>
      </w:r>
    </w:p>
    <w:p w14:paraId="20B73D69">
      <w:pPr>
        <w:widowControl/>
        <w:spacing w:after="180"/>
        <w:jc w:val="both"/>
        <w:rPr>
          <w:rFonts w:hint="default"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On the other hand, the target study goal for FR2-FR2 prediction is to enhance handover performance. Thus, it is straightforward to evaluate the handover performance in this scenario, which cannot be reflected by the </w:t>
      </w:r>
      <w:r>
        <w:rPr>
          <w:rFonts w:hint="default" w:ascii="Arial" w:hAnsi="Arial" w:eastAsia="等线" w:cs="Arial"/>
          <w:kern w:val="0"/>
          <w:sz w:val="20"/>
          <w:szCs w:val="20"/>
          <w:lang w:val="en-US" w:eastAsia="zh-CN"/>
        </w:rPr>
        <w:t>measurements prediction accuracy</w:t>
      </w:r>
      <w:r>
        <w:rPr>
          <w:rFonts w:hint="eastAsia" w:ascii="Arial" w:hAnsi="Arial" w:eastAsia="等线" w:cs="Arial"/>
          <w:kern w:val="0"/>
          <w:sz w:val="20"/>
          <w:szCs w:val="20"/>
          <w:lang w:val="en-US" w:eastAsia="zh-CN"/>
        </w:rPr>
        <w:t xml:space="preserve"> directly.  </w:t>
      </w:r>
    </w:p>
    <w:p w14:paraId="601C4527">
      <w:pPr>
        <w:keepNext w:val="0"/>
        <w:keepLines w:val="0"/>
        <w:pageBreakBefore w:val="0"/>
        <w:widowControl/>
        <w:kinsoku/>
        <w:wordWrap/>
        <w:overflowPunct/>
        <w:topLinePunct w:val="0"/>
        <w:autoSpaceDE/>
        <w:autoSpaceDN/>
        <w:bidi w:val="0"/>
        <w:adjustRightInd/>
        <w:snapToGrid/>
        <w:spacing w:before="0" w:beforeLines="50" w:after="180"/>
        <w:jc w:val="both"/>
        <w:textAlignment w:val="auto"/>
        <w:rPr>
          <w:rFonts w:hint="default"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Therefore, we think that the handover performance should be evaluated. As listed in SID [3], </w:t>
      </w:r>
      <w:r>
        <w:rPr>
          <w:rFonts w:hint="eastAsia" w:ascii="Arial" w:hAnsi="Arial" w:eastAsia="等线" w:cs="Arial"/>
          <w:kern w:val="0"/>
          <w:sz w:val="20"/>
          <w:szCs w:val="20"/>
          <w:lang w:val="en-GB" w:eastAsia="en-US"/>
        </w:rPr>
        <w:t>Ping-pong HO, HOF/RLF, Time of stay, Handover interruption etc.</w:t>
      </w:r>
      <w:r>
        <w:rPr>
          <w:rFonts w:hint="eastAsia" w:ascii="Arial" w:hAnsi="Arial" w:eastAsia="等线" w:cs="Arial"/>
          <w:kern w:val="0"/>
          <w:sz w:val="20"/>
          <w:szCs w:val="20"/>
          <w:lang w:val="en-US" w:eastAsia="zh-CN"/>
        </w:rPr>
        <w:t>, can be considered. In addition, the HO successful rate can be also considered. And RAN2 can discuss the baseline threshold for evaluation.</w:t>
      </w:r>
    </w:p>
    <w:p w14:paraId="3F7FEF04">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6: RAN2 consider the performance metrics/KPIs (e.g. Ping-pong HO rate, HO failure rate, RLF rate, short stay rate, HO successful rate), and discuss the baseline threshold for evaluation, such as the HO successful rate above a threshold (e.g. 95%) or the degrading of HO successful rate below a threshold (e.g. 3%).</w:t>
      </w:r>
    </w:p>
    <w:p w14:paraId="57874150">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kern w:val="0"/>
          <w:sz w:val="20"/>
          <w:szCs w:val="20"/>
          <w:lang w:val="en-US" w:eastAsia="zh-CN"/>
        </w:rPr>
        <w:t>Furthermore, the existing Handover Failure Modelling, RLF modelling and Ping-pong Modelling in TR 36.839 [5] can be reused as the baseline model for statistic of Handover failure rate, RLF rate, Ping-Pong HO rate and short stay rate, etc.</w:t>
      </w:r>
    </w:p>
    <w:p w14:paraId="74A5E785">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7: The existing Handover Failure Modelling, </w:t>
      </w:r>
      <w:r>
        <w:rPr>
          <w:rFonts w:hint="eastAsia" w:ascii="Arial" w:hAnsi="Arial" w:eastAsia="等线" w:cs="Arial"/>
          <w:b/>
          <w:bCs/>
          <w:kern w:val="0"/>
          <w:sz w:val="20"/>
          <w:szCs w:val="20"/>
          <w:lang w:val="en-GB" w:eastAsia="ja-JP"/>
        </w:rPr>
        <w:t>RLF modelling</w:t>
      </w:r>
      <w:r>
        <w:rPr>
          <w:rFonts w:hint="eastAsia" w:ascii="Arial" w:hAnsi="Arial" w:eastAsia="等线" w:cs="Arial"/>
          <w:b/>
          <w:bCs/>
          <w:kern w:val="0"/>
          <w:sz w:val="20"/>
          <w:szCs w:val="20"/>
          <w:lang w:val="en-US" w:eastAsia="zh-CN"/>
        </w:rPr>
        <w:t xml:space="preserve"> and </w:t>
      </w:r>
      <w:r>
        <w:rPr>
          <w:rFonts w:hint="eastAsia" w:ascii="Arial" w:hAnsi="Arial" w:eastAsia="等线" w:cs="Arial"/>
          <w:b/>
          <w:bCs/>
          <w:kern w:val="0"/>
          <w:sz w:val="20"/>
          <w:szCs w:val="20"/>
          <w:lang w:val="en-GB" w:eastAsia="en-US"/>
        </w:rPr>
        <w:t>Ping-</w:t>
      </w:r>
      <w:r>
        <w:rPr>
          <w:rFonts w:hint="eastAsia" w:ascii="Arial" w:hAnsi="Arial" w:eastAsia="等线" w:cs="Arial"/>
          <w:b/>
          <w:bCs/>
          <w:kern w:val="0"/>
          <w:sz w:val="20"/>
          <w:szCs w:val="20"/>
          <w:lang w:val="en-GB" w:eastAsia="zh-CN"/>
        </w:rPr>
        <w:t>pong Modelling</w:t>
      </w:r>
      <w:r>
        <w:rPr>
          <w:rFonts w:hint="eastAsia" w:ascii="Arial" w:hAnsi="Arial" w:eastAsia="等线" w:cs="Arial"/>
          <w:b/>
          <w:bCs/>
          <w:kern w:val="0"/>
          <w:sz w:val="20"/>
          <w:szCs w:val="20"/>
          <w:lang w:val="en-US" w:eastAsia="zh-CN"/>
        </w:rPr>
        <w:t xml:space="preserve"> in TR 36.839 can be reused as the baseline model for statistic of the system level performance.</w:t>
      </w:r>
    </w:p>
    <w:p w14:paraId="2AF22088">
      <w:pPr>
        <w:widowControl/>
        <w:numPr>
          <w:ilvl w:val="0"/>
          <w:numId w:val="0"/>
        </w:numPr>
        <w:spacing w:after="180"/>
        <w:jc w:val="both"/>
        <w:rPr>
          <w:rFonts w:ascii="Arial" w:hAnsi="Arial" w:cs="Arial"/>
          <w:bCs/>
          <w:sz w:val="20"/>
          <w:szCs w:val="20"/>
        </w:rPr>
      </w:pPr>
    </w:p>
    <w:p w14:paraId="584136F1">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976C9A8">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AI/ML based RRM measurement prediction</w:t>
      </w:r>
      <w:r>
        <w:rPr>
          <w:rFonts w:ascii="Arial" w:hAnsi="Arial" w:eastAsia="宋体" w:cs="Arial"/>
          <w:kern w:val="0"/>
          <w:sz w:val="20"/>
          <w:szCs w:val="20"/>
          <w:lang w:val="en-GB" w:eastAsia="en-US"/>
        </w:rPr>
        <w:t>.</w:t>
      </w:r>
    </w:p>
    <w:p w14:paraId="550BA1CB">
      <w:pPr>
        <w:widowControl/>
        <w:spacing w:after="180"/>
        <w:rPr>
          <w:rFonts w:hint="default" w:ascii="Arial" w:hAnsi="Arial" w:eastAsia="宋体" w:cs="Arial"/>
          <w:b/>
          <w:bCs/>
          <w:i/>
          <w:iCs/>
          <w:kern w:val="0"/>
          <w:sz w:val="20"/>
          <w:szCs w:val="20"/>
          <w:u w:val="single"/>
          <w:lang w:val="en-US" w:eastAsia="zh-CN"/>
        </w:rPr>
      </w:pPr>
      <w:r>
        <w:rPr>
          <w:rFonts w:hint="eastAsia" w:ascii="Arial" w:hAnsi="Arial" w:eastAsia="宋体" w:cs="Arial"/>
          <w:b/>
          <w:bCs/>
          <w:i/>
          <w:iCs/>
          <w:kern w:val="0"/>
          <w:sz w:val="20"/>
          <w:szCs w:val="20"/>
          <w:u w:val="single"/>
          <w:lang w:val="en-US" w:eastAsia="zh-CN"/>
        </w:rPr>
        <w:t>Sub use cases for L3 beam level prediction</w:t>
      </w:r>
    </w:p>
    <w:p w14:paraId="31284441">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1: L3 beam level results are used for network to select a specific beam of target cell for L3 mobility.</w:t>
      </w:r>
    </w:p>
    <w:p w14:paraId="1F9960B8">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1: RAN2 is suggested to study the L3 beam level results prediction.</w:t>
      </w:r>
    </w:p>
    <w:p w14:paraId="60431FBA">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2: For L3 beam level results prediction, at least the following sub use cases are considered: </w:t>
      </w:r>
    </w:p>
    <w:p w14:paraId="3113AAAB">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1: To predict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level results, then generate </w:t>
      </w:r>
      <w:r>
        <w:rPr>
          <w:rFonts w:hint="eastAsia" w:ascii="Arial" w:hAnsi="Arial" w:eastAsia="等线" w:cs="Arial"/>
          <w:b/>
          <w:bCs/>
          <w:kern w:val="0"/>
          <w:sz w:val="20"/>
          <w:szCs w:val="20"/>
          <w:lang w:val="en-US" w:eastAsia="zh-CN"/>
        </w:rPr>
        <w:t>L3 beam</w:t>
      </w:r>
      <w:r>
        <w:rPr>
          <w:rFonts w:hint="default" w:ascii="Arial" w:hAnsi="Arial" w:eastAsia="等线" w:cs="Arial"/>
          <w:b/>
          <w:bCs/>
          <w:kern w:val="0"/>
          <w:sz w:val="20"/>
          <w:szCs w:val="20"/>
          <w:lang w:val="en-US" w:eastAsia="zh-CN"/>
        </w:rPr>
        <w:t xml:space="preserve"> level results based on the predicted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results </w:t>
      </w:r>
    </w:p>
    <w:p w14:paraId="6345D687">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2: To directly predict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 xml:space="preserve">level results based on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level results</w:t>
      </w:r>
    </w:p>
    <w:p w14:paraId="159C625A">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3: To directly predict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 xml:space="preserve">level results based on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beam level results</w:t>
      </w:r>
    </w:p>
    <w:p w14:paraId="154AFA05">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3: The temporal domain, spatial domain and frequency domain can be applied for L3 beam level results prediction.</w:t>
      </w:r>
    </w:p>
    <w:p w14:paraId="547D5F1E">
      <w:pPr>
        <w:spacing w:before="120" w:beforeLines="50" w:after="120" w:line="260" w:lineRule="exact"/>
        <w:rPr>
          <w:rFonts w:hint="eastAsia" w:ascii="Arial" w:hAnsi="Arial" w:eastAsia="宋体" w:cs="Arial"/>
          <w:b/>
          <w:bCs/>
          <w:i/>
          <w:iCs/>
          <w:kern w:val="0"/>
          <w:sz w:val="20"/>
          <w:szCs w:val="20"/>
          <w:u w:val="single"/>
        </w:rPr>
      </w:pPr>
      <w:r>
        <w:rPr>
          <w:rFonts w:hint="eastAsia" w:ascii="Arial" w:hAnsi="Arial" w:eastAsia="宋体" w:cs="Arial"/>
          <w:b/>
          <w:bCs/>
          <w:i/>
          <w:iCs/>
          <w:kern w:val="0"/>
          <w:sz w:val="20"/>
          <w:szCs w:val="20"/>
          <w:u w:val="single"/>
        </w:rPr>
        <w:t>Evaluation metrics/KPIs</w:t>
      </w:r>
    </w:p>
    <w:p w14:paraId="767AD95A">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4: For measurement reduction rate of </w:t>
      </w:r>
      <w:r>
        <w:rPr>
          <w:rFonts w:hint="eastAsia" w:ascii="Arial" w:hAnsi="Arial" w:cs="Arial"/>
          <w:b/>
          <w:bCs/>
          <w:sz w:val="20"/>
          <w:szCs w:val="20"/>
          <w:lang w:val="en-US" w:eastAsia="zh-CN"/>
        </w:rPr>
        <w:t>frequency domain prediction</w:t>
      </w:r>
      <w:r>
        <w:rPr>
          <w:rFonts w:hint="eastAsia" w:ascii="Arial" w:hAnsi="Arial" w:eastAsia="等线" w:cs="Arial"/>
          <w:b/>
          <w:bCs/>
          <w:kern w:val="0"/>
          <w:sz w:val="20"/>
          <w:szCs w:val="20"/>
          <w:lang w:val="en-US" w:eastAsia="zh-CN"/>
        </w:rPr>
        <w:t>, the following definitions is considered:</w:t>
      </w:r>
    </w:p>
    <w:p w14:paraId="5B494EC8">
      <w:pPr>
        <w:widowControl/>
        <w:numPr>
          <w:ilvl w:val="0"/>
          <w:numId w:val="8"/>
        </w:numPr>
        <w:spacing w:after="180"/>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The measurement gaps reduction rate (MGRR) is:</w:t>
      </w:r>
    </w:p>
    <w:p w14:paraId="05C7D6D1">
      <w:pPr>
        <w:widowControl/>
        <w:numPr>
          <w:ilvl w:val="0"/>
          <w:numId w:val="0"/>
        </w:numPr>
        <w:spacing w:after="180"/>
        <w:ind w:left="1050" w:leftChars="500"/>
        <w:jc w:val="both"/>
        <w:rPr>
          <w:rFonts w:hint="default" w:ascii="Arial" w:hAnsi="Arial" w:cs="Arial"/>
          <w:b/>
          <w:bCs/>
          <w:sz w:val="20"/>
          <w:szCs w:val="20"/>
          <w:lang w:val="en-US" w:eastAsia="zh-CN"/>
        </w:rPr>
      </w:pPr>
      <w:r>
        <w:rPr>
          <w:rFonts w:hint="eastAsia" w:ascii="Arial" w:hAnsi="Arial" w:cs="Arial"/>
          <w:b/>
          <w:bCs/>
          <w:sz w:val="20"/>
          <w:szCs w:val="20"/>
          <w:lang w:val="en-US" w:eastAsia="zh-CN"/>
        </w:rPr>
        <w:t>MGRR = skipped gaps to be measured / total gaps to be measured</w:t>
      </w:r>
    </w:p>
    <w:p w14:paraId="33682CA4">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5: The best cell prediction accuracy can be considered as a metric for </w:t>
      </w:r>
      <w:r>
        <w:rPr>
          <w:rFonts w:hint="default" w:ascii="Arial" w:hAnsi="Arial" w:cs="Arial"/>
          <w:b/>
          <w:bCs/>
          <w:i w:val="0"/>
          <w:sz w:val="20"/>
          <w:szCs w:val="20"/>
        </w:rPr>
        <w:t>the prediction accuracy of</w:t>
      </w:r>
      <w:r>
        <w:rPr>
          <w:rFonts w:hint="eastAsia" w:ascii="Arial" w:hAnsi="Arial" w:cs="Arial"/>
          <w:b/>
          <w:bCs/>
          <w:i w:val="0"/>
          <w:sz w:val="20"/>
          <w:szCs w:val="20"/>
          <w:lang w:val="en-US" w:eastAsia="zh-CN"/>
        </w:rPr>
        <w:t xml:space="preserve"> </w:t>
      </w:r>
      <w:r>
        <w:rPr>
          <w:rFonts w:hint="eastAsia" w:ascii="Arial" w:hAnsi="Arial" w:eastAsia="等线" w:cs="Arial"/>
          <w:b/>
          <w:bCs/>
          <w:kern w:val="0"/>
          <w:sz w:val="20"/>
          <w:szCs w:val="20"/>
          <w:lang w:val="en-US" w:eastAsia="zh-CN"/>
        </w:rPr>
        <w:t>cell level measurement prediction.</w:t>
      </w:r>
    </w:p>
    <w:p w14:paraId="40C673D6">
      <w:pPr>
        <w:widowControl/>
        <w:numPr>
          <w:ilvl w:val="0"/>
          <w:numId w:val="8"/>
        </w:numPr>
        <w:spacing w:after="180"/>
        <w:ind w:left="840" w:leftChars="0" w:hanging="420" w:firstLineChars="0"/>
        <w:jc w:val="both"/>
        <w:rPr>
          <w:rFonts w:ascii="Arial" w:hAnsi="Arial" w:cs="Arial"/>
          <w:bCs/>
          <w:sz w:val="20"/>
          <w:szCs w:val="20"/>
        </w:rPr>
      </w:pPr>
      <w:r>
        <w:rPr>
          <w:rFonts w:hint="eastAsia" w:ascii="Arial" w:hAnsi="Arial" w:cs="Arial"/>
          <w:b/>
          <w:bCs/>
          <w:sz w:val="20"/>
          <w:szCs w:val="20"/>
          <w:lang w:val="en-US" w:eastAsia="zh-CN"/>
        </w:rPr>
        <w:t xml:space="preserve">Best Cell prediction accuracy (%): </w:t>
      </w:r>
      <w:r>
        <w:rPr>
          <w:rFonts w:hint="eastAsia" w:ascii="Arial" w:hAnsi="Arial" w:cs="Arial"/>
          <w:b/>
          <w:bCs/>
          <w:sz w:val="20"/>
          <w:szCs w:val="20"/>
          <w:lang w:val="en-GB" w:eastAsia="en-US"/>
        </w:rPr>
        <w:t>the percentage of "the actual</w:t>
      </w:r>
      <w:r>
        <w:rPr>
          <w:rFonts w:hint="eastAsia" w:ascii="Arial" w:hAnsi="Arial" w:cs="Arial"/>
          <w:b/>
          <w:bCs/>
          <w:sz w:val="20"/>
          <w:szCs w:val="20"/>
          <w:lang w:val="en-US" w:eastAsia="zh-CN"/>
        </w:rPr>
        <w:t xml:space="preserve"> best cell </w:t>
      </w:r>
      <w:r>
        <w:rPr>
          <w:rFonts w:hint="eastAsia" w:ascii="Arial" w:hAnsi="Arial" w:cs="Arial"/>
          <w:b/>
          <w:bCs/>
          <w:sz w:val="20"/>
          <w:szCs w:val="20"/>
          <w:lang w:val="en-GB" w:eastAsia="en-US"/>
        </w:rPr>
        <w:t xml:space="preserve">based on the measurement results is </w:t>
      </w:r>
      <w:r>
        <w:rPr>
          <w:rFonts w:hint="eastAsia" w:ascii="Arial" w:hAnsi="Arial" w:cs="Arial"/>
          <w:b/>
          <w:bCs/>
          <w:sz w:val="20"/>
          <w:szCs w:val="20"/>
          <w:lang w:val="en-US" w:eastAsia="zh-CN"/>
        </w:rPr>
        <w:t xml:space="preserve">the best cell </w:t>
      </w:r>
      <w:r>
        <w:rPr>
          <w:rFonts w:hint="eastAsia" w:ascii="Arial" w:hAnsi="Arial" w:cs="Arial"/>
          <w:b/>
          <w:bCs/>
          <w:sz w:val="20"/>
          <w:szCs w:val="20"/>
          <w:lang w:val="en-GB" w:eastAsia="en-US"/>
        </w:rPr>
        <w:t xml:space="preserve">based on the </w:t>
      </w:r>
      <w:r>
        <w:rPr>
          <w:rFonts w:hint="eastAsia" w:ascii="Arial" w:hAnsi="Arial" w:cs="Arial"/>
          <w:b/>
          <w:bCs/>
          <w:sz w:val="20"/>
          <w:szCs w:val="20"/>
          <w:lang w:val="en-US" w:eastAsia="zh-CN"/>
        </w:rPr>
        <w:t>predicted</w:t>
      </w:r>
      <w:r>
        <w:rPr>
          <w:rFonts w:hint="eastAsia" w:ascii="Arial" w:hAnsi="Arial" w:cs="Arial"/>
          <w:b/>
          <w:bCs/>
          <w:sz w:val="20"/>
          <w:szCs w:val="20"/>
          <w:lang w:val="en-GB" w:eastAsia="en-US"/>
        </w:rPr>
        <w:t xml:space="preserve"> results"</w:t>
      </w:r>
    </w:p>
    <w:p w14:paraId="6F46CCF8">
      <w:pPr>
        <w:keepNext w:val="0"/>
        <w:keepLines w:val="0"/>
        <w:pageBreakBefore w:val="0"/>
        <w:widowControl/>
        <w:kinsoku/>
        <w:wordWrap/>
        <w:overflowPunct/>
        <w:topLinePunct w:val="0"/>
        <w:autoSpaceDE/>
        <w:autoSpaceDN/>
        <w:bidi w:val="0"/>
        <w:adjustRightInd/>
        <w:snapToGrid/>
        <w:spacing w:before="0" w:beforeLines="50" w:after="180"/>
        <w:jc w:val="both"/>
        <w:textAlignment w:val="auto"/>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2: The measurement reduction should keep the mobility performance from degrading, for example, to keep the HO successful rate above a threshold (e.g. 95%) or keep the degrading of HO successful rate below a threshold (e.g. 3%).</w:t>
      </w:r>
    </w:p>
    <w:p w14:paraId="501D85CC">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3: The measurement prediction accuracy does not always exhibit a direct positive correlation with handover performance.</w:t>
      </w:r>
    </w:p>
    <w:p w14:paraId="7571E98B">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6: RAN2 consider the performance evaluation metrics/KPIs (Ping-pong HO rate, HO failure rate, RLF rate, short stay rate, HO successful rate), and discuss the baseline threshold for evaluation, such as the HO successful rate above a threshold (e.g. 95%) or the degrading of HO successful rate below a threshold (e.g. 3%).</w:t>
      </w:r>
    </w:p>
    <w:p w14:paraId="47550AA0">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7: The existing Handover Failure Modelling, </w:t>
      </w:r>
      <w:r>
        <w:rPr>
          <w:rFonts w:hint="eastAsia" w:ascii="Arial" w:hAnsi="Arial" w:eastAsia="等线" w:cs="Arial"/>
          <w:b/>
          <w:bCs/>
          <w:kern w:val="0"/>
          <w:sz w:val="20"/>
          <w:szCs w:val="20"/>
          <w:lang w:val="en-GB" w:eastAsia="ja-JP"/>
        </w:rPr>
        <w:t>RLF modelling</w:t>
      </w:r>
      <w:r>
        <w:rPr>
          <w:rFonts w:hint="eastAsia" w:ascii="Arial" w:hAnsi="Arial" w:eastAsia="等线" w:cs="Arial"/>
          <w:b/>
          <w:bCs/>
          <w:kern w:val="0"/>
          <w:sz w:val="20"/>
          <w:szCs w:val="20"/>
          <w:lang w:val="en-US" w:eastAsia="zh-CN"/>
        </w:rPr>
        <w:t xml:space="preserve"> and </w:t>
      </w:r>
      <w:r>
        <w:rPr>
          <w:rFonts w:hint="eastAsia" w:ascii="Arial" w:hAnsi="Arial" w:eastAsia="等线" w:cs="Arial"/>
          <w:b/>
          <w:bCs/>
          <w:kern w:val="0"/>
          <w:sz w:val="20"/>
          <w:szCs w:val="20"/>
          <w:lang w:val="en-GB" w:eastAsia="en-US"/>
        </w:rPr>
        <w:t>Ping-</w:t>
      </w:r>
      <w:r>
        <w:rPr>
          <w:rFonts w:hint="eastAsia" w:ascii="Arial" w:hAnsi="Arial" w:eastAsia="等线" w:cs="Arial"/>
          <w:b/>
          <w:bCs/>
          <w:kern w:val="0"/>
          <w:sz w:val="20"/>
          <w:szCs w:val="20"/>
          <w:lang w:val="en-GB" w:eastAsia="zh-CN"/>
        </w:rPr>
        <w:t>pong Modelling</w:t>
      </w:r>
      <w:r>
        <w:rPr>
          <w:rFonts w:hint="eastAsia" w:ascii="Arial" w:hAnsi="Arial" w:eastAsia="等线" w:cs="Arial"/>
          <w:b/>
          <w:bCs/>
          <w:kern w:val="0"/>
          <w:sz w:val="20"/>
          <w:szCs w:val="20"/>
          <w:lang w:val="en-US" w:eastAsia="zh-CN"/>
        </w:rPr>
        <w:t xml:space="preserve"> in TR 36.839 can be reused as the baseline model for statistic of the system level performance.</w:t>
      </w:r>
    </w:p>
    <w:p w14:paraId="442FD1C8">
      <w:pPr>
        <w:spacing w:before="120" w:beforeLines="50" w:after="120" w:line="260" w:lineRule="exact"/>
        <w:rPr>
          <w:rFonts w:hint="eastAsia" w:ascii="Arial" w:hAnsi="Arial" w:eastAsia="宋体" w:cs="Arial"/>
          <w:b/>
          <w:bCs/>
          <w:i/>
          <w:iCs/>
          <w:kern w:val="0"/>
          <w:szCs w:val="21"/>
          <w:u w:val="single"/>
        </w:rPr>
      </w:pPr>
    </w:p>
    <w:p w14:paraId="32B1A475">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C27E4E">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Draft_R2_125bis_Meeting_Report_v2</w:t>
      </w:r>
    </w:p>
    <w:p w14:paraId="4A13F7E0">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6</w:t>
      </w:r>
      <w:r>
        <w:rPr>
          <w:rFonts w:hint="eastAsia" w:ascii="Arial" w:hAnsi="Arial" w:eastAsia="宋体" w:cs="Arial"/>
          <w:kern w:val="0"/>
          <w:sz w:val="20"/>
          <w:szCs w:val="20"/>
          <w:lang w:val="en-GB" w:eastAsia="en-US"/>
        </w:rPr>
        <w:t>_Meeting_Report_v2</w:t>
      </w:r>
    </w:p>
    <w:p w14:paraId="47ADCF5A">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38.300 NR; NR and NG-RAN Overall Description; Stage 2</w:t>
      </w:r>
    </w:p>
    <w:p w14:paraId="6D76FC0E">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RP-234055, Study on Artificial Intelligence (AI)/Machine Learning (ML) for mobility in NR</w:t>
      </w:r>
    </w:p>
    <w:p w14:paraId="0BC049B3">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TR 36.839 Evolved Universal Terrestrial Radio Access (E-UTRA); Mobility enhancements in heterogeneous networks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D2372C"/>
    <w:multiLevelType w:val="multilevel"/>
    <w:tmpl w:val="F3D2372C"/>
    <w:lvl w:ilvl="0" w:tentative="0">
      <w:start w:val="1"/>
      <w:numFmt w:val="bullet"/>
      <w:lvlText w:val=""/>
      <w:lvlJc w:val="left"/>
      <w:pPr>
        <w:tabs>
          <w:tab w:val="left" w:pos="420"/>
        </w:tabs>
        <w:ind w:left="840" w:leftChars="0" w:hanging="420" w:firstLineChars="0"/>
      </w:pPr>
      <w:rPr>
        <w:rFonts w:hint="default" w:ascii="Wingdings" w:hAnsi="Wingdings"/>
        <w:sz w:val="16"/>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50BED944"/>
    <w:multiLevelType w:val="singleLevel"/>
    <w:tmpl w:val="50BED944"/>
    <w:lvl w:ilvl="0" w:tentative="0">
      <w:start w:val="1"/>
      <w:numFmt w:val="decimal"/>
      <w:lvlText w:val="%1"/>
      <w:lvlJc w:val="left"/>
    </w:lvl>
  </w:abstractNum>
  <w:abstractNum w:abstractNumId="7">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1"/>
  </w:num>
  <w:num w:numId="3">
    <w:abstractNumId w:val="8"/>
  </w:num>
  <w:num w:numId="4">
    <w:abstractNumId w:val="7"/>
  </w:num>
  <w:num w:numId="5">
    <w:abstractNumId w:val="6"/>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801DA"/>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412A16"/>
    <w:rsid w:val="016C5974"/>
    <w:rsid w:val="016E658B"/>
    <w:rsid w:val="01840FB9"/>
    <w:rsid w:val="01A0498E"/>
    <w:rsid w:val="01A574CF"/>
    <w:rsid w:val="01A60C1B"/>
    <w:rsid w:val="01E966BF"/>
    <w:rsid w:val="02395107"/>
    <w:rsid w:val="029B08C6"/>
    <w:rsid w:val="02A424C3"/>
    <w:rsid w:val="02B71025"/>
    <w:rsid w:val="02DC04D7"/>
    <w:rsid w:val="02FA6D08"/>
    <w:rsid w:val="0300491B"/>
    <w:rsid w:val="030E32B0"/>
    <w:rsid w:val="03190295"/>
    <w:rsid w:val="038A1F16"/>
    <w:rsid w:val="03C42CC6"/>
    <w:rsid w:val="041A101A"/>
    <w:rsid w:val="04861CA0"/>
    <w:rsid w:val="04A12BB9"/>
    <w:rsid w:val="04A37BF0"/>
    <w:rsid w:val="04F25DBA"/>
    <w:rsid w:val="04F46CEE"/>
    <w:rsid w:val="04FD5053"/>
    <w:rsid w:val="054134AD"/>
    <w:rsid w:val="056C27CB"/>
    <w:rsid w:val="0571089C"/>
    <w:rsid w:val="058844D8"/>
    <w:rsid w:val="05AD7C3D"/>
    <w:rsid w:val="05B81468"/>
    <w:rsid w:val="05B92B80"/>
    <w:rsid w:val="05CC288F"/>
    <w:rsid w:val="05FB3716"/>
    <w:rsid w:val="061355E6"/>
    <w:rsid w:val="069766D8"/>
    <w:rsid w:val="06EA3869"/>
    <w:rsid w:val="06EB297F"/>
    <w:rsid w:val="06F44776"/>
    <w:rsid w:val="071830B3"/>
    <w:rsid w:val="07232B13"/>
    <w:rsid w:val="072E12A5"/>
    <w:rsid w:val="072E4FA9"/>
    <w:rsid w:val="07554650"/>
    <w:rsid w:val="075F5104"/>
    <w:rsid w:val="079F7BD5"/>
    <w:rsid w:val="07CC0B7F"/>
    <w:rsid w:val="080B0E60"/>
    <w:rsid w:val="08241B14"/>
    <w:rsid w:val="08346E32"/>
    <w:rsid w:val="084F3982"/>
    <w:rsid w:val="0870581B"/>
    <w:rsid w:val="08BD2F14"/>
    <w:rsid w:val="08D80E0C"/>
    <w:rsid w:val="09085B92"/>
    <w:rsid w:val="093223D0"/>
    <w:rsid w:val="093C56FD"/>
    <w:rsid w:val="09414F75"/>
    <w:rsid w:val="094470AB"/>
    <w:rsid w:val="095A6DFD"/>
    <w:rsid w:val="09704505"/>
    <w:rsid w:val="09867888"/>
    <w:rsid w:val="09926330"/>
    <w:rsid w:val="09AD7F7C"/>
    <w:rsid w:val="09B92009"/>
    <w:rsid w:val="09C411E9"/>
    <w:rsid w:val="09D63199"/>
    <w:rsid w:val="09F124DC"/>
    <w:rsid w:val="09F8719E"/>
    <w:rsid w:val="0A0C359D"/>
    <w:rsid w:val="0A103B20"/>
    <w:rsid w:val="0A1469F1"/>
    <w:rsid w:val="0A173D8A"/>
    <w:rsid w:val="0A5754CE"/>
    <w:rsid w:val="0AA35EAE"/>
    <w:rsid w:val="0AAC7074"/>
    <w:rsid w:val="0AB622D1"/>
    <w:rsid w:val="0ADE2342"/>
    <w:rsid w:val="0AE21792"/>
    <w:rsid w:val="0AF33383"/>
    <w:rsid w:val="0B054A96"/>
    <w:rsid w:val="0B11078A"/>
    <w:rsid w:val="0B7E67EB"/>
    <w:rsid w:val="0B96175E"/>
    <w:rsid w:val="0BB81E48"/>
    <w:rsid w:val="0BF550E1"/>
    <w:rsid w:val="0C202296"/>
    <w:rsid w:val="0C415301"/>
    <w:rsid w:val="0C4853AF"/>
    <w:rsid w:val="0C5466CF"/>
    <w:rsid w:val="0C6C1EE0"/>
    <w:rsid w:val="0C7F3E15"/>
    <w:rsid w:val="0C9C5C5F"/>
    <w:rsid w:val="0CC05689"/>
    <w:rsid w:val="0CD5224C"/>
    <w:rsid w:val="0CE47224"/>
    <w:rsid w:val="0CED527E"/>
    <w:rsid w:val="0CFF2DC7"/>
    <w:rsid w:val="0D362C45"/>
    <w:rsid w:val="0D711EBE"/>
    <w:rsid w:val="0D771EA7"/>
    <w:rsid w:val="0DA728AC"/>
    <w:rsid w:val="0DA85703"/>
    <w:rsid w:val="0DAD175B"/>
    <w:rsid w:val="0DE11C21"/>
    <w:rsid w:val="0DE14E46"/>
    <w:rsid w:val="0E3D4FDF"/>
    <w:rsid w:val="0E4532D4"/>
    <w:rsid w:val="0E4A09D7"/>
    <w:rsid w:val="0E56201A"/>
    <w:rsid w:val="0E6E3C34"/>
    <w:rsid w:val="0EAE3C80"/>
    <w:rsid w:val="0EAF327B"/>
    <w:rsid w:val="0EE434F9"/>
    <w:rsid w:val="0F1D748A"/>
    <w:rsid w:val="0F4E079B"/>
    <w:rsid w:val="0F732504"/>
    <w:rsid w:val="0F782620"/>
    <w:rsid w:val="0F89744E"/>
    <w:rsid w:val="0F8A7784"/>
    <w:rsid w:val="0F8C51E0"/>
    <w:rsid w:val="0FC453D1"/>
    <w:rsid w:val="0FC803F4"/>
    <w:rsid w:val="10090A65"/>
    <w:rsid w:val="108B22CD"/>
    <w:rsid w:val="10AC6F3F"/>
    <w:rsid w:val="10C31C47"/>
    <w:rsid w:val="10C64AE7"/>
    <w:rsid w:val="10F04644"/>
    <w:rsid w:val="110171B2"/>
    <w:rsid w:val="11171B9A"/>
    <w:rsid w:val="111F30A5"/>
    <w:rsid w:val="118C2F9A"/>
    <w:rsid w:val="11900A86"/>
    <w:rsid w:val="119B1CE5"/>
    <w:rsid w:val="11D44799"/>
    <w:rsid w:val="11D65F4E"/>
    <w:rsid w:val="11E4251C"/>
    <w:rsid w:val="1236016D"/>
    <w:rsid w:val="123900DB"/>
    <w:rsid w:val="123B6254"/>
    <w:rsid w:val="12934DEA"/>
    <w:rsid w:val="12A73823"/>
    <w:rsid w:val="12B04029"/>
    <w:rsid w:val="12BD5E5F"/>
    <w:rsid w:val="12DA4242"/>
    <w:rsid w:val="130A48C3"/>
    <w:rsid w:val="132303DD"/>
    <w:rsid w:val="1331496D"/>
    <w:rsid w:val="13392934"/>
    <w:rsid w:val="13583AE1"/>
    <w:rsid w:val="1358580E"/>
    <w:rsid w:val="135A6265"/>
    <w:rsid w:val="136A73BB"/>
    <w:rsid w:val="139327D8"/>
    <w:rsid w:val="13A46671"/>
    <w:rsid w:val="13D36FA4"/>
    <w:rsid w:val="14256000"/>
    <w:rsid w:val="1466786F"/>
    <w:rsid w:val="14A668A4"/>
    <w:rsid w:val="14A9029F"/>
    <w:rsid w:val="14B83431"/>
    <w:rsid w:val="14E836E8"/>
    <w:rsid w:val="14F142C3"/>
    <w:rsid w:val="150B6FBF"/>
    <w:rsid w:val="152B1104"/>
    <w:rsid w:val="154A66B0"/>
    <w:rsid w:val="15804BC3"/>
    <w:rsid w:val="159C7EDD"/>
    <w:rsid w:val="15BE553B"/>
    <w:rsid w:val="15E03E14"/>
    <w:rsid w:val="15E4550B"/>
    <w:rsid w:val="15E9482E"/>
    <w:rsid w:val="161147C5"/>
    <w:rsid w:val="16327956"/>
    <w:rsid w:val="166A7A3B"/>
    <w:rsid w:val="16725680"/>
    <w:rsid w:val="168B0BBD"/>
    <w:rsid w:val="16A3322F"/>
    <w:rsid w:val="16C120B7"/>
    <w:rsid w:val="16CD3708"/>
    <w:rsid w:val="16D51B5B"/>
    <w:rsid w:val="16D7712F"/>
    <w:rsid w:val="17916AE6"/>
    <w:rsid w:val="179D12F3"/>
    <w:rsid w:val="17AE49E6"/>
    <w:rsid w:val="17CD5A7B"/>
    <w:rsid w:val="18035F6A"/>
    <w:rsid w:val="185C58E1"/>
    <w:rsid w:val="186366A3"/>
    <w:rsid w:val="187A66B9"/>
    <w:rsid w:val="1881324F"/>
    <w:rsid w:val="18A246AF"/>
    <w:rsid w:val="18E929D9"/>
    <w:rsid w:val="18F32680"/>
    <w:rsid w:val="18F80417"/>
    <w:rsid w:val="18FE1274"/>
    <w:rsid w:val="192F165F"/>
    <w:rsid w:val="19516FA3"/>
    <w:rsid w:val="195E3B99"/>
    <w:rsid w:val="196E4FB3"/>
    <w:rsid w:val="19C51AEA"/>
    <w:rsid w:val="19CE1BFF"/>
    <w:rsid w:val="19D8169B"/>
    <w:rsid w:val="1A1C0B7B"/>
    <w:rsid w:val="1A28023C"/>
    <w:rsid w:val="1A40430B"/>
    <w:rsid w:val="1A95072F"/>
    <w:rsid w:val="1A9A126F"/>
    <w:rsid w:val="1AA4601E"/>
    <w:rsid w:val="1ABB3621"/>
    <w:rsid w:val="1ABF7C53"/>
    <w:rsid w:val="1ADE6206"/>
    <w:rsid w:val="1AE7452F"/>
    <w:rsid w:val="1B073464"/>
    <w:rsid w:val="1B5E2B2B"/>
    <w:rsid w:val="1BB22919"/>
    <w:rsid w:val="1BDC2201"/>
    <w:rsid w:val="1BF91505"/>
    <w:rsid w:val="1C064DE2"/>
    <w:rsid w:val="1C263D41"/>
    <w:rsid w:val="1C6673DB"/>
    <w:rsid w:val="1C6A1BB2"/>
    <w:rsid w:val="1C726F5B"/>
    <w:rsid w:val="1CC529AF"/>
    <w:rsid w:val="1CC914E2"/>
    <w:rsid w:val="1D031FA5"/>
    <w:rsid w:val="1D700D25"/>
    <w:rsid w:val="1DA1677A"/>
    <w:rsid w:val="1DA90A2F"/>
    <w:rsid w:val="1DE55E1B"/>
    <w:rsid w:val="1DEA2636"/>
    <w:rsid w:val="1E015BFF"/>
    <w:rsid w:val="1E261FEC"/>
    <w:rsid w:val="1E5D014C"/>
    <w:rsid w:val="1E625159"/>
    <w:rsid w:val="1E6C052F"/>
    <w:rsid w:val="1E8017FF"/>
    <w:rsid w:val="1EA27B4C"/>
    <w:rsid w:val="1EB31B66"/>
    <w:rsid w:val="1EB529F8"/>
    <w:rsid w:val="1ECD6A48"/>
    <w:rsid w:val="1EF17AB3"/>
    <w:rsid w:val="1F1F4D17"/>
    <w:rsid w:val="1F5656FA"/>
    <w:rsid w:val="1F8A3BD5"/>
    <w:rsid w:val="1FE63CE8"/>
    <w:rsid w:val="20254C14"/>
    <w:rsid w:val="205E7BE3"/>
    <w:rsid w:val="208A18F1"/>
    <w:rsid w:val="208D63E6"/>
    <w:rsid w:val="20A506BA"/>
    <w:rsid w:val="20F63843"/>
    <w:rsid w:val="20FE18B0"/>
    <w:rsid w:val="21376EA4"/>
    <w:rsid w:val="21513A3C"/>
    <w:rsid w:val="215A766D"/>
    <w:rsid w:val="21667FDB"/>
    <w:rsid w:val="219C1508"/>
    <w:rsid w:val="21FA5606"/>
    <w:rsid w:val="22046DF1"/>
    <w:rsid w:val="220A4513"/>
    <w:rsid w:val="226530F0"/>
    <w:rsid w:val="229575D0"/>
    <w:rsid w:val="22B32E1B"/>
    <w:rsid w:val="22CD6AE0"/>
    <w:rsid w:val="23456866"/>
    <w:rsid w:val="236906A5"/>
    <w:rsid w:val="2375481A"/>
    <w:rsid w:val="23797368"/>
    <w:rsid w:val="23822B30"/>
    <w:rsid w:val="23983A20"/>
    <w:rsid w:val="23B828A0"/>
    <w:rsid w:val="23EE120B"/>
    <w:rsid w:val="23F33A79"/>
    <w:rsid w:val="2403705B"/>
    <w:rsid w:val="24110B80"/>
    <w:rsid w:val="24572D18"/>
    <w:rsid w:val="249D5D77"/>
    <w:rsid w:val="24B445FB"/>
    <w:rsid w:val="24BD6504"/>
    <w:rsid w:val="24C74F14"/>
    <w:rsid w:val="24D708E2"/>
    <w:rsid w:val="24FB6730"/>
    <w:rsid w:val="251B6F7E"/>
    <w:rsid w:val="252515BC"/>
    <w:rsid w:val="25787665"/>
    <w:rsid w:val="25F5013E"/>
    <w:rsid w:val="262A1C6D"/>
    <w:rsid w:val="262F627F"/>
    <w:rsid w:val="26315BFD"/>
    <w:rsid w:val="26486862"/>
    <w:rsid w:val="264A4407"/>
    <w:rsid w:val="26537397"/>
    <w:rsid w:val="26590269"/>
    <w:rsid w:val="2660154C"/>
    <w:rsid w:val="26A276B5"/>
    <w:rsid w:val="26BA68C7"/>
    <w:rsid w:val="26BB1824"/>
    <w:rsid w:val="26BF5E40"/>
    <w:rsid w:val="26F237CD"/>
    <w:rsid w:val="2719754A"/>
    <w:rsid w:val="2725126B"/>
    <w:rsid w:val="274C2D2B"/>
    <w:rsid w:val="2796594E"/>
    <w:rsid w:val="27BC024E"/>
    <w:rsid w:val="27BE3E87"/>
    <w:rsid w:val="27C17045"/>
    <w:rsid w:val="27C35275"/>
    <w:rsid w:val="281E73DF"/>
    <w:rsid w:val="283167B4"/>
    <w:rsid w:val="28682A73"/>
    <w:rsid w:val="289D577F"/>
    <w:rsid w:val="28E404D9"/>
    <w:rsid w:val="28E42F5D"/>
    <w:rsid w:val="28F4407D"/>
    <w:rsid w:val="291138C7"/>
    <w:rsid w:val="29120E51"/>
    <w:rsid w:val="29733D9F"/>
    <w:rsid w:val="29A61468"/>
    <w:rsid w:val="29BE37C1"/>
    <w:rsid w:val="29C6362E"/>
    <w:rsid w:val="2A2D2B14"/>
    <w:rsid w:val="2A5039D7"/>
    <w:rsid w:val="2A665688"/>
    <w:rsid w:val="2A7D74CC"/>
    <w:rsid w:val="2A7F4563"/>
    <w:rsid w:val="2A913EA6"/>
    <w:rsid w:val="2B3F4C1F"/>
    <w:rsid w:val="2B4D1216"/>
    <w:rsid w:val="2B58393A"/>
    <w:rsid w:val="2B8030A5"/>
    <w:rsid w:val="2BE06712"/>
    <w:rsid w:val="2C095760"/>
    <w:rsid w:val="2C0D429C"/>
    <w:rsid w:val="2C6E581C"/>
    <w:rsid w:val="2C7A7AA0"/>
    <w:rsid w:val="2CA30589"/>
    <w:rsid w:val="2D146D2C"/>
    <w:rsid w:val="2D155FB3"/>
    <w:rsid w:val="2D3B7B03"/>
    <w:rsid w:val="2D440581"/>
    <w:rsid w:val="2D470656"/>
    <w:rsid w:val="2D493ADC"/>
    <w:rsid w:val="2D55451C"/>
    <w:rsid w:val="2D5B158F"/>
    <w:rsid w:val="2DCC2FF0"/>
    <w:rsid w:val="2DF144D1"/>
    <w:rsid w:val="2DFB6036"/>
    <w:rsid w:val="2E184774"/>
    <w:rsid w:val="2E3472AB"/>
    <w:rsid w:val="2E3D031C"/>
    <w:rsid w:val="2E5F0DAE"/>
    <w:rsid w:val="2EA86437"/>
    <w:rsid w:val="2EB103B1"/>
    <w:rsid w:val="2F0F71E6"/>
    <w:rsid w:val="2F383A5C"/>
    <w:rsid w:val="2F4559EE"/>
    <w:rsid w:val="2F742945"/>
    <w:rsid w:val="2F7C006C"/>
    <w:rsid w:val="2F9D4B14"/>
    <w:rsid w:val="2FBE43F5"/>
    <w:rsid w:val="2FC53C32"/>
    <w:rsid w:val="2FC55B9D"/>
    <w:rsid w:val="2FD157C7"/>
    <w:rsid w:val="2FDC344C"/>
    <w:rsid w:val="2FEE1B88"/>
    <w:rsid w:val="300A115E"/>
    <w:rsid w:val="301241C3"/>
    <w:rsid w:val="30272C8D"/>
    <w:rsid w:val="30296BB8"/>
    <w:rsid w:val="309D4655"/>
    <w:rsid w:val="30C026F3"/>
    <w:rsid w:val="315423FA"/>
    <w:rsid w:val="315B7AEC"/>
    <w:rsid w:val="316D013F"/>
    <w:rsid w:val="31710789"/>
    <w:rsid w:val="317503B0"/>
    <w:rsid w:val="31BF4254"/>
    <w:rsid w:val="31D53C4D"/>
    <w:rsid w:val="31F71A11"/>
    <w:rsid w:val="31FE12AB"/>
    <w:rsid w:val="320E382B"/>
    <w:rsid w:val="321A185A"/>
    <w:rsid w:val="321B4537"/>
    <w:rsid w:val="32513A45"/>
    <w:rsid w:val="32B50B2C"/>
    <w:rsid w:val="32C84DFE"/>
    <w:rsid w:val="32F658B9"/>
    <w:rsid w:val="32FA3DAF"/>
    <w:rsid w:val="332D5F33"/>
    <w:rsid w:val="3337740D"/>
    <w:rsid w:val="337F1035"/>
    <w:rsid w:val="33805DA1"/>
    <w:rsid w:val="338C56E4"/>
    <w:rsid w:val="33934B2E"/>
    <w:rsid w:val="339441CF"/>
    <w:rsid w:val="33C37075"/>
    <w:rsid w:val="34062C68"/>
    <w:rsid w:val="341C738A"/>
    <w:rsid w:val="348F0A80"/>
    <w:rsid w:val="34982F99"/>
    <w:rsid w:val="34A26022"/>
    <w:rsid w:val="34B0567F"/>
    <w:rsid w:val="34B443F6"/>
    <w:rsid w:val="34C208FD"/>
    <w:rsid w:val="34E12F4E"/>
    <w:rsid w:val="34EB31AA"/>
    <w:rsid w:val="34EC41DF"/>
    <w:rsid w:val="35040A33"/>
    <w:rsid w:val="351A24AD"/>
    <w:rsid w:val="351E1A52"/>
    <w:rsid w:val="35273121"/>
    <w:rsid w:val="354E123E"/>
    <w:rsid w:val="354F2AD2"/>
    <w:rsid w:val="3559203E"/>
    <w:rsid w:val="35C36B07"/>
    <w:rsid w:val="35C60438"/>
    <w:rsid w:val="360D6591"/>
    <w:rsid w:val="361F2C5E"/>
    <w:rsid w:val="363976F7"/>
    <w:rsid w:val="36681B72"/>
    <w:rsid w:val="366E68DA"/>
    <w:rsid w:val="36BD137C"/>
    <w:rsid w:val="36E02E58"/>
    <w:rsid w:val="36F84B57"/>
    <w:rsid w:val="372749F3"/>
    <w:rsid w:val="3751494E"/>
    <w:rsid w:val="375A24EA"/>
    <w:rsid w:val="37757EA8"/>
    <w:rsid w:val="3784494C"/>
    <w:rsid w:val="37BC00E4"/>
    <w:rsid w:val="37C859C7"/>
    <w:rsid w:val="37D62F7A"/>
    <w:rsid w:val="37E40AE8"/>
    <w:rsid w:val="3801173C"/>
    <w:rsid w:val="38060F79"/>
    <w:rsid w:val="384E5649"/>
    <w:rsid w:val="38746ABC"/>
    <w:rsid w:val="38761BD7"/>
    <w:rsid w:val="38AE69D5"/>
    <w:rsid w:val="38FC0060"/>
    <w:rsid w:val="38FC32F5"/>
    <w:rsid w:val="38FD17EE"/>
    <w:rsid w:val="39030A9D"/>
    <w:rsid w:val="39113643"/>
    <w:rsid w:val="396866FD"/>
    <w:rsid w:val="397E03C2"/>
    <w:rsid w:val="39BB3AC3"/>
    <w:rsid w:val="39DF043A"/>
    <w:rsid w:val="39FE32B3"/>
    <w:rsid w:val="39FF59A7"/>
    <w:rsid w:val="3A070DC0"/>
    <w:rsid w:val="3A2065C7"/>
    <w:rsid w:val="3A213653"/>
    <w:rsid w:val="3A34378D"/>
    <w:rsid w:val="3A36160B"/>
    <w:rsid w:val="3A6F51D2"/>
    <w:rsid w:val="3AA50AA5"/>
    <w:rsid w:val="3AE570F3"/>
    <w:rsid w:val="3AEB3C21"/>
    <w:rsid w:val="3AFB6043"/>
    <w:rsid w:val="3B041E40"/>
    <w:rsid w:val="3B191C47"/>
    <w:rsid w:val="3B205806"/>
    <w:rsid w:val="3B295FAA"/>
    <w:rsid w:val="3B5C6A72"/>
    <w:rsid w:val="3B7F2CAA"/>
    <w:rsid w:val="3B8902A9"/>
    <w:rsid w:val="3C1A13DF"/>
    <w:rsid w:val="3C3A4FEB"/>
    <w:rsid w:val="3C4F0EBB"/>
    <w:rsid w:val="3C635FA0"/>
    <w:rsid w:val="3C7D1ABD"/>
    <w:rsid w:val="3C8659AE"/>
    <w:rsid w:val="3CA66A58"/>
    <w:rsid w:val="3CBE3C7C"/>
    <w:rsid w:val="3CD165D4"/>
    <w:rsid w:val="3CF316DB"/>
    <w:rsid w:val="3D39355A"/>
    <w:rsid w:val="3D3C44DD"/>
    <w:rsid w:val="3D5001A7"/>
    <w:rsid w:val="3D5B3EF0"/>
    <w:rsid w:val="3D5C58DF"/>
    <w:rsid w:val="3D9214B7"/>
    <w:rsid w:val="3DB23DD9"/>
    <w:rsid w:val="3DF57F08"/>
    <w:rsid w:val="3E143052"/>
    <w:rsid w:val="3E390C78"/>
    <w:rsid w:val="3E500D27"/>
    <w:rsid w:val="3E573ADE"/>
    <w:rsid w:val="3E5E4B58"/>
    <w:rsid w:val="3E96303F"/>
    <w:rsid w:val="3EA55E90"/>
    <w:rsid w:val="3ECD0998"/>
    <w:rsid w:val="3ED508CA"/>
    <w:rsid w:val="3F1109BC"/>
    <w:rsid w:val="3F1B7587"/>
    <w:rsid w:val="3F805B16"/>
    <w:rsid w:val="3FA062C5"/>
    <w:rsid w:val="3FA42170"/>
    <w:rsid w:val="3FAF36DB"/>
    <w:rsid w:val="405759DA"/>
    <w:rsid w:val="406A14B3"/>
    <w:rsid w:val="407C15D8"/>
    <w:rsid w:val="409D1B0D"/>
    <w:rsid w:val="40F97CA8"/>
    <w:rsid w:val="41171B69"/>
    <w:rsid w:val="41415E9E"/>
    <w:rsid w:val="41883A8E"/>
    <w:rsid w:val="418A60B4"/>
    <w:rsid w:val="41B370D6"/>
    <w:rsid w:val="41CB6057"/>
    <w:rsid w:val="42212582"/>
    <w:rsid w:val="42625CA5"/>
    <w:rsid w:val="42755843"/>
    <w:rsid w:val="42794CE2"/>
    <w:rsid w:val="428704C4"/>
    <w:rsid w:val="42A67B0A"/>
    <w:rsid w:val="42C70708"/>
    <w:rsid w:val="42E0254C"/>
    <w:rsid w:val="42F40D67"/>
    <w:rsid w:val="43066FF8"/>
    <w:rsid w:val="43146FF6"/>
    <w:rsid w:val="433204F8"/>
    <w:rsid w:val="433C3AAA"/>
    <w:rsid w:val="4345322A"/>
    <w:rsid w:val="43600192"/>
    <w:rsid w:val="43964A1C"/>
    <w:rsid w:val="43E22B61"/>
    <w:rsid w:val="44031DB9"/>
    <w:rsid w:val="447943E7"/>
    <w:rsid w:val="44B41FCD"/>
    <w:rsid w:val="44F46625"/>
    <w:rsid w:val="44F52628"/>
    <w:rsid w:val="454C191C"/>
    <w:rsid w:val="4556652D"/>
    <w:rsid w:val="45861251"/>
    <w:rsid w:val="459911EE"/>
    <w:rsid w:val="4599227F"/>
    <w:rsid w:val="45BE024B"/>
    <w:rsid w:val="45BE2AD4"/>
    <w:rsid w:val="45C2437E"/>
    <w:rsid w:val="45EA2721"/>
    <w:rsid w:val="45FE5B89"/>
    <w:rsid w:val="460A0745"/>
    <w:rsid w:val="461C02D1"/>
    <w:rsid w:val="46300B95"/>
    <w:rsid w:val="463A3C1C"/>
    <w:rsid w:val="466E6ADA"/>
    <w:rsid w:val="4699240B"/>
    <w:rsid w:val="46A26101"/>
    <w:rsid w:val="46B7014A"/>
    <w:rsid w:val="46ED5CA5"/>
    <w:rsid w:val="46FE4C6E"/>
    <w:rsid w:val="47062AB6"/>
    <w:rsid w:val="475A659D"/>
    <w:rsid w:val="476207DA"/>
    <w:rsid w:val="47944B93"/>
    <w:rsid w:val="47AB18A1"/>
    <w:rsid w:val="47B14EAE"/>
    <w:rsid w:val="47C00B3A"/>
    <w:rsid w:val="47C04462"/>
    <w:rsid w:val="47C96CD1"/>
    <w:rsid w:val="47D84F8A"/>
    <w:rsid w:val="47DB6ABB"/>
    <w:rsid w:val="47FA64AE"/>
    <w:rsid w:val="48083448"/>
    <w:rsid w:val="48460696"/>
    <w:rsid w:val="48690DD9"/>
    <w:rsid w:val="486B54EB"/>
    <w:rsid w:val="4887121F"/>
    <w:rsid w:val="48F702B1"/>
    <w:rsid w:val="492910E2"/>
    <w:rsid w:val="492E569F"/>
    <w:rsid w:val="494B446A"/>
    <w:rsid w:val="494E1C27"/>
    <w:rsid w:val="49A36AB0"/>
    <w:rsid w:val="49A97E85"/>
    <w:rsid w:val="49D92DDD"/>
    <w:rsid w:val="49EF5321"/>
    <w:rsid w:val="4A24656C"/>
    <w:rsid w:val="4A347F6C"/>
    <w:rsid w:val="4A444508"/>
    <w:rsid w:val="4A456A14"/>
    <w:rsid w:val="4A486E14"/>
    <w:rsid w:val="4A66451F"/>
    <w:rsid w:val="4A9D0D79"/>
    <w:rsid w:val="4A9D45B8"/>
    <w:rsid w:val="4A9F545E"/>
    <w:rsid w:val="4AAB056F"/>
    <w:rsid w:val="4B08573B"/>
    <w:rsid w:val="4B626F00"/>
    <w:rsid w:val="4BC53B5B"/>
    <w:rsid w:val="4BE53FE4"/>
    <w:rsid w:val="4C340FD6"/>
    <w:rsid w:val="4C4D4AF8"/>
    <w:rsid w:val="4C744BB3"/>
    <w:rsid w:val="4C851F32"/>
    <w:rsid w:val="4C964045"/>
    <w:rsid w:val="4CE2366D"/>
    <w:rsid w:val="4D010671"/>
    <w:rsid w:val="4D316B33"/>
    <w:rsid w:val="4D352FBB"/>
    <w:rsid w:val="4D743D8A"/>
    <w:rsid w:val="4D877CE7"/>
    <w:rsid w:val="4DA96C4E"/>
    <w:rsid w:val="4DF70A62"/>
    <w:rsid w:val="4E0614E3"/>
    <w:rsid w:val="4E2452B7"/>
    <w:rsid w:val="4E4801C1"/>
    <w:rsid w:val="4E695109"/>
    <w:rsid w:val="4E975F58"/>
    <w:rsid w:val="4E9C3B92"/>
    <w:rsid w:val="4E9D6524"/>
    <w:rsid w:val="4EAD1AF9"/>
    <w:rsid w:val="4EE23C1E"/>
    <w:rsid w:val="4EF57C42"/>
    <w:rsid w:val="4F1913AC"/>
    <w:rsid w:val="4F311C6C"/>
    <w:rsid w:val="4F4F5A65"/>
    <w:rsid w:val="4F6426A9"/>
    <w:rsid w:val="4F7A31F5"/>
    <w:rsid w:val="4FB77179"/>
    <w:rsid w:val="4FB92CDA"/>
    <w:rsid w:val="4FE775A6"/>
    <w:rsid w:val="4FF54231"/>
    <w:rsid w:val="50077447"/>
    <w:rsid w:val="502F4C40"/>
    <w:rsid w:val="50343739"/>
    <w:rsid w:val="50623802"/>
    <w:rsid w:val="50652E94"/>
    <w:rsid w:val="508700F4"/>
    <w:rsid w:val="50A970CD"/>
    <w:rsid w:val="50C72D83"/>
    <w:rsid w:val="51352AC8"/>
    <w:rsid w:val="5163596F"/>
    <w:rsid w:val="51642065"/>
    <w:rsid w:val="51895F2D"/>
    <w:rsid w:val="51A0460E"/>
    <w:rsid w:val="51A823AB"/>
    <w:rsid w:val="51CC648B"/>
    <w:rsid w:val="51E202B2"/>
    <w:rsid w:val="52030FE6"/>
    <w:rsid w:val="52065DA2"/>
    <w:rsid w:val="522E4D5D"/>
    <w:rsid w:val="524A71B5"/>
    <w:rsid w:val="52642695"/>
    <w:rsid w:val="5279373F"/>
    <w:rsid w:val="528B1069"/>
    <w:rsid w:val="528D5BD8"/>
    <w:rsid w:val="528F0DD4"/>
    <w:rsid w:val="52930D7F"/>
    <w:rsid w:val="5296438C"/>
    <w:rsid w:val="530F2B4C"/>
    <w:rsid w:val="53144C5A"/>
    <w:rsid w:val="533B7DA0"/>
    <w:rsid w:val="53AE0CB6"/>
    <w:rsid w:val="53D170F4"/>
    <w:rsid w:val="53FF4E61"/>
    <w:rsid w:val="541B63E8"/>
    <w:rsid w:val="544F1C50"/>
    <w:rsid w:val="54606A92"/>
    <w:rsid w:val="54611A81"/>
    <w:rsid w:val="54DC110F"/>
    <w:rsid w:val="552C20A5"/>
    <w:rsid w:val="55846FDD"/>
    <w:rsid w:val="558933C3"/>
    <w:rsid w:val="55B177EA"/>
    <w:rsid w:val="55CD48C4"/>
    <w:rsid w:val="560C425A"/>
    <w:rsid w:val="562365CA"/>
    <w:rsid w:val="56340430"/>
    <w:rsid w:val="56581D59"/>
    <w:rsid w:val="568502CA"/>
    <w:rsid w:val="56B0773B"/>
    <w:rsid w:val="56C254B7"/>
    <w:rsid w:val="5709588E"/>
    <w:rsid w:val="571760EF"/>
    <w:rsid w:val="571F7ADE"/>
    <w:rsid w:val="57321A9A"/>
    <w:rsid w:val="57792910"/>
    <w:rsid w:val="5781180D"/>
    <w:rsid w:val="57C77D46"/>
    <w:rsid w:val="57CF4F1B"/>
    <w:rsid w:val="58201757"/>
    <w:rsid w:val="58514364"/>
    <w:rsid w:val="585818C8"/>
    <w:rsid w:val="58602168"/>
    <w:rsid w:val="5860738B"/>
    <w:rsid w:val="58AB4E89"/>
    <w:rsid w:val="58AD7356"/>
    <w:rsid w:val="58B5550E"/>
    <w:rsid w:val="58BD5C76"/>
    <w:rsid w:val="58C11261"/>
    <w:rsid w:val="58C34E9B"/>
    <w:rsid w:val="58D20175"/>
    <w:rsid w:val="59340E0B"/>
    <w:rsid w:val="59AD7B0E"/>
    <w:rsid w:val="59D55070"/>
    <w:rsid w:val="59DA18AC"/>
    <w:rsid w:val="59E546A4"/>
    <w:rsid w:val="59FD6E5D"/>
    <w:rsid w:val="5A2F5AF5"/>
    <w:rsid w:val="5A4439EB"/>
    <w:rsid w:val="5A637B38"/>
    <w:rsid w:val="5A8820B4"/>
    <w:rsid w:val="5A8D1386"/>
    <w:rsid w:val="5A93303B"/>
    <w:rsid w:val="5ABB6C3C"/>
    <w:rsid w:val="5ACD77B4"/>
    <w:rsid w:val="5AFF7905"/>
    <w:rsid w:val="5B1836AE"/>
    <w:rsid w:val="5B492C91"/>
    <w:rsid w:val="5B6B15AA"/>
    <w:rsid w:val="5B987BF7"/>
    <w:rsid w:val="5BAF6495"/>
    <w:rsid w:val="5BF25754"/>
    <w:rsid w:val="5C1E13B0"/>
    <w:rsid w:val="5C662A50"/>
    <w:rsid w:val="5CC73DD6"/>
    <w:rsid w:val="5CEA2522"/>
    <w:rsid w:val="5CF015F3"/>
    <w:rsid w:val="5CF2777D"/>
    <w:rsid w:val="5D0D01B7"/>
    <w:rsid w:val="5D2708E3"/>
    <w:rsid w:val="5D664D05"/>
    <w:rsid w:val="5D7C584C"/>
    <w:rsid w:val="5D7F0635"/>
    <w:rsid w:val="5D894E7F"/>
    <w:rsid w:val="5D8D080D"/>
    <w:rsid w:val="5D935CE3"/>
    <w:rsid w:val="5DBF6493"/>
    <w:rsid w:val="5DC05209"/>
    <w:rsid w:val="5DC12605"/>
    <w:rsid w:val="5E3A6AA2"/>
    <w:rsid w:val="5E3E4C2D"/>
    <w:rsid w:val="5E5867E1"/>
    <w:rsid w:val="5E674F7E"/>
    <w:rsid w:val="5E874CE8"/>
    <w:rsid w:val="5EB00E5C"/>
    <w:rsid w:val="5ED35331"/>
    <w:rsid w:val="5EE37831"/>
    <w:rsid w:val="5EEB7859"/>
    <w:rsid w:val="5F0A3D5F"/>
    <w:rsid w:val="5F213F68"/>
    <w:rsid w:val="5F2F6349"/>
    <w:rsid w:val="5F600D4E"/>
    <w:rsid w:val="5F8E3078"/>
    <w:rsid w:val="5F956DDF"/>
    <w:rsid w:val="5F991667"/>
    <w:rsid w:val="5FA416F1"/>
    <w:rsid w:val="5FD93954"/>
    <w:rsid w:val="5FDC55D3"/>
    <w:rsid w:val="5FEE71CA"/>
    <w:rsid w:val="5FF469EE"/>
    <w:rsid w:val="5FFB0094"/>
    <w:rsid w:val="60160416"/>
    <w:rsid w:val="60305CC7"/>
    <w:rsid w:val="604A1238"/>
    <w:rsid w:val="60A62DBA"/>
    <w:rsid w:val="60C03CCF"/>
    <w:rsid w:val="60D42D03"/>
    <w:rsid w:val="60E62C9D"/>
    <w:rsid w:val="611B62E0"/>
    <w:rsid w:val="615E501E"/>
    <w:rsid w:val="6180773A"/>
    <w:rsid w:val="61A06374"/>
    <w:rsid w:val="61EC233B"/>
    <w:rsid w:val="622470A5"/>
    <w:rsid w:val="62247F4C"/>
    <w:rsid w:val="622D2FAA"/>
    <w:rsid w:val="625D25EA"/>
    <w:rsid w:val="62857C4E"/>
    <w:rsid w:val="6286607D"/>
    <w:rsid w:val="62A62781"/>
    <w:rsid w:val="62C20707"/>
    <w:rsid w:val="62E05FC6"/>
    <w:rsid w:val="62FD3864"/>
    <w:rsid w:val="63464F7D"/>
    <w:rsid w:val="634B0772"/>
    <w:rsid w:val="636E7A2E"/>
    <w:rsid w:val="63815A2A"/>
    <w:rsid w:val="63BF7E8E"/>
    <w:rsid w:val="63C01CBD"/>
    <w:rsid w:val="63FC4F9D"/>
    <w:rsid w:val="643F3D04"/>
    <w:rsid w:val="644204E6"/>
    <w:rsid w:val="64635DFB"/>
    <w:rsid w:val="64683A23"/>
    <w:rsid w:val="64875932"/>
    <w:rsid w:val="64942E6C"/>
    <w:rsid w:val="64AF3910"/>
    <w:rsid w:val="64BC2C9E"/>
    <w:rsid w:val="64C626B7"/>
    <w:rsid w:val="64E33DF4"/>
    <w:rsid w:val="65224FDB"/>
    <w:rsid w:val="65683151"/>
    <w:rsid w:val="658066C4"/>
    <w:rsid w:val="65812710"/>
    <w:rsid w:val="65912A7B"/>
    <w:rsid w:val="65A430EB"/>
    <w:rsid w:val="660428AE"/>
    <w:rsid w:val="660D1E09"/>
    <w:rsid w:val="660E4242"/>
    <w:rsid w:val="662519F4"/>
    <w:rsid w:val="66354951"/>
    <w:rsid w:val="666A2C09"/>
    <w:rsid w:val="6679092A"/>
    <w:rsid w:val="669315AD"/>
    <w:rsid w:val="66BA2385"/>
    <w:rsid w:val="66DB09CF"/>
    <w:rsid w:val="66E96680"/>
    <w:rsid w:val="67237A0F"/>
    <w:rsid w:val="67487CFE"/>
    <w:rsid w:val="674B56A6"/>
    <w:rsid w:val="67695728"/>
    <w:rsid w:val="677038E2"/>
    <w:rsid w:val="677777A9"/>
    <w:rsid w:val="67B43783"/>
    <w:rsid w:val="67B92A72"/>
    <w:rsid w:val="67D547C2"/>
    <w:rsid w:val="67FA0E09"/>
    <w:rsid w:val="68075EA1"/>
    <w:rsid w:val="68233F9E"/>
    <w:rsid w:val="68277A88"/>
    <w:rsid w:val="686831F8"/>
    <w:rsid w:val="689340A3"/>
    <w:rsid w:val="68A12E72"/>
    <w:rsid w:val="68DC73EC"/>
    <w:rsid w:val="68EF5A15"/>
    <w:rsid w:val="69054B5C"/>
    <w:rsid w:val="69293200"/>
    <w:rsid w:val="694347AF"/>
    <w:rsid w:val="694F06EB"/>
    <w:rsid w:val="6963607F"/>
    <w:rsid w:val="696403F8"/>
    <w:rsid w:val="69766916"/>
    <w:rsid w:val="698D63CB"/>
    <w:rsid w:val="698F77F4"/>
    <w:rsid w:val="69B23B9D"/>
    <w:rsid w:val="69E82867"/>
    <w:rsid w:val="6A086F70"/>
    <w:rsid w:val="6A540655"/>
    <w:rsid w:val="6A5B510D"/>
    <w:rsid w:val="6AA159CB"/>
    <w:rsid w:val="6AA26939"/>
    <w:rsid w:val="6ACB1DCC"/>
    <w:rsid w:val="6AD50437"/>
    <w:rsid w:val="6AE4041A"/>
    <w:rsid w:val="6AEE57CB"/>
    <w:rsid w:val="6B2C2701"/>
    <w:rsid w:val="6B3030A0"/>
    <w:rsid w:val="6B340742"/>
    <w:rsid w:val="6B417EB3"/>
    <w:rsid w:val="6B4C6AAF"/>
    <w:rsid w:val="6B707214"/>
    <w:rsid w:val="6B9C69D2"/>
    <w:rsid w:val="6BB104FC"/>
    <w:rsid w:val="6BC75657"/>
    <w:rsid w:val="6BD126F0"/>
    <w:rsid w:val="6BE1773A"/>
    <w:rsid w:val="6BE35659"/>
    <w:rsid w:val="6C2B66F7"/>
    <w:rsid w:val="6C56491E"/>
    <w:rsid w:val="6C5B64F3"/>
    <w:rsid w:val="6CB84F3A"/>
    <w:rsid w:val="6D05726A"/>
    <w:rsid w:val="6D101E8F"/>
    <w:rsid w:val="6D673555"/>
    <w:rsid w:val="6D717C1E"/>
    <w:rsid w:val="6D92611A"/>
    <w:rsid w:val="6D981B81"/>
    <w:rsid w:val="6D994274"/>
    <w:rsid w:val="6DB90857"/>
    <w:rsid w:val="6DC267F1"/>
    <w:rsid w:val="6E032FC6"/>
    <w:rsid w:val="6E083615"/>
    <w:rsid w:val="6E0D26B4"/>
    <w:rsid w:val="6E360FB8"/>
    <w:rsid w:val="6E44084F"/>
    <w:rsid w:val="6E4F3DA5"/>
    <w:rsid w:val="6E6F0BB4"/>
    <w:rsid w:val="6E6F1D57"/>
    <w:rsid w:val="6E7A62E4"/>
    <w:rsid w:val="6E9D2927"/>
    <w:rsid w:val="6EAC7B70"/>
    <w:rsid w:val="6EB25B0B"/>
    <w:rsid w:val="6EB80BA0"/>
    <w:rsid w:val="6ED37D90"/>
    <w:rsid w:val="6EF65F87"/>
    <w:rsid w:val="6F00046B"/>
    <w:rsid w:val="6F065AB6"/>
    <w:rsid w:val="6F3364F9"/>
    <w:rsid w:val="6F441647"/>
    <w:rsid w:val="6F4D0F66"/>
    <w:rsid w:val="6F505503"/>
    <w:rsid w:val="6F57424B"/>
    <w:rsid w:val="6F612830"/>
    <w:rsid w:val="6F9E5543"/>
    <w:rsid w:val="6FD10B10"/>
    <w:rsid w:val="6FE61F22"/>
    <w:rsid w:val="6FFD00DA"/>
    <w:rsid w:val="70137644"/>
    <w:rsid w:val="70352925"/>
    <w:rsid w:val="70505871"/>
    <w:rsid w:val="7059136B"/>
    <w:rsid w:val="706B4405"/>
    <w:rsid w:val="70801B07"/>
    <w:rsid w:val="709A7A5C"/>
    <w:rsid w:val="70A1406F"/>
    <w:rsid w:val="70B0465E"/>
    <w:rsid w:val="70FE623D"/>
    <w:rsid w:val="71477B07"/>
    <w:rsid w:val="715B3C2A"/>
    <w:rsid w:val="717A163C"/>
    <w:rsid w:val="71803C89"/>
    <w:rsid w:val="71994E64"/>
    <w:rsid w:val="71CA7676"/>
    <w:rsid w:val="71EA7695"/>
    <w:rsid w:val="71EE7FB9"/>
    <w:rsid w:val="721B12DE"/>
    <w:rsid w:val="72536FDC"/>
    <w:rsid w:val="72671BC0"/>
    <w:rsid w:val="727D75DF"/>
    <w:rsid w:val="72BB74DD"/>
    <w:rsid w:val="72D11CA8"/>
    <w:rsid w:val="72D36E77"/>
    <w:rsid w:val="72DD2BAD"/>
    <w:rsid w:val="72FB66FD"/>
    <w:rsid w:val="732872C5"/>
    <w:rsid w:val="733A6DD9"/>
    <w:rsid w:val="7360086A"/>
    <w:rsid w:val="739A0DC0"/>
    <w:rsid w:val="73B920B2"/>
    <w:rsid w:val="74085669"/>
    <w:rsid w:val="7423649A"/>
    <w:rsid w:val="74412921"/>
    <w:rsid w:val="7475710D"/>
    <w:rsid w:val="747621BD"/>
    <w:rsid w:val="749874CC"/>
    <w:rsid w:val="74987CB6"/>
    <w:rsid w:val="75086A21"/>
    <w:rsid w:val="750B356A"/>
    <w:rsid w:val="750C4DDC"/>
    <w:rsid w:val="7510569F"/>
    <w:rsid w:val="756950CA"/>
    <w:rsid w:val="75922EAF"/>
    <w:rsid w:val="75AD28A1"/>
    <w:rsid w:val="75C224B9"/>
    <w:rsid w:val="76013E56"/>
    <w:rsid w:val="760A7D9D"/>
    <w:rsid w:val="76335855"/>
    <w:rsid w:val="763E51CC"/>
    <w:rsid w:val="76465F91"/>
    <w:rsid w:val="766026E6"/>
    <w:rsid w:val="76B770A6"/>
    <w:rsid w:val="76CE7275"/>
    <w:rsid w:val="76E4362B"/>
    <w:rsid w:val="770A1659"/>
    <w:rsid w:val="7712242B"/>
    <w:rsid w:val="771F60E4"/>
    <w:rsid w:val="77231D40"/>
    <w:rsid w:val="773A7A8E"/>
    <w:rsid w:val="77825F67"/>
    <w:rsid w:val="77B91A42"/>
    <w:rsid w:val="77C5780E"/>
    <w:rsid w:val="782F327E"/>
    <w:rsid w:val="78397A32"/>
    <w:rsid w:val="78A06277"/>
    <w:rsid w:val="78C64F8E"/>
    <w:rsid w:val="791A1EB8"/>
    <w:rsid w:val="791E4FA3"/>
    <w:rsid w:val="797167CA"/>
    <w:rsid w:val="798E4E1E"/>
    <w:rsid w:val="799E2AB3"/>
    <w:rsid w:val="79A37A59"/>
    <w:rsid w:val="79BB7454"/>
    <w:rsid w:val="79C61A14"/>
    <w:rsid w:val="79C85435"/>
    <w:rsid w:val="79EE5B89"/>
    <w:rsid w:val="79F05A1B"/>
    <w:rsid w:val="7A020CA3"/>
    <w:rsid w:val="7A067805"/>
    <w:rsid w:val="7A8B5300"/>
    <w:rsid w:val="7AA408FA"/>
    <w:rsid w:val="7B123707"/>
    <w:rsid w:val="7B236D19"/>
    <w:rsid w:val="7B307625"/>
    <w:rsid w:val="7B347CEC"/>
    <w:rsid w:val="7B576B4E"/>
    <w:rsid w:val="7B761608"/>
    <w:rsid w:val="7B87133C"/>
    <w:rsid w:val="7B961898"/>
    <w:rsid w:val="7C105077"/>
    <w:rsid w:val="7C416F95"/>
    <w:rsid w:val="7C4E5B9F"/>
    <w:rsid w:val="7C580760"/>
    <w:rsid w:val="7C8B3404"/>
    <w:rsid w:val="7C9C47E0"/>
    <w:rsid w:val="7C9E070C"/>
    <w:rsid w:val="7CBB152F"/>
    <w:rsid w:val="7D2C343C"/>
    <w:rsid w:val="7D4C3183"/>
    <w:rsid w:val="7D9314F6"/>
    <w:rsid w:val="7D9C06C0"/>
    <w:rsid w:val="7DBE5AB2"/>
    <w:rsid w:val="7DC948FC"/>
    <w:rsid w:val="7DDB441F"/>
    <w:rsid w:val="7E4B1AB3"/>
    <w:rsid w:val="7E58216F"/>
    <w:rsid w:val="7E58478A"/>
    <w:rsid w:val="7E6C11B2"/>
    <w:rsid w:val="7E70415D"/>
    <w:rsid w:val="7E7F1745"/>
    <w:rsid w:val="7E886BD8"/>
    <w:rsid w:val="7E922F1E"/>
    <w:rsid w:val="7E9C1A45"/>
    <w:rsid w:val="7EC80CAE"/>
    <w:rsid w:val="7EEF7176"/>
    <w:rsid w:val="7F557A14"/>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9"/>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unhideWhenUsed/>
    <w:qFormat/>
    <w:uiPriority w:val="0"/>
    <w:rPr>
      <w:rFonts w:hint="default"/>
      <w:sz w:val="24"/>
      <w:szCs w:val="24"/>
    </w:rPr>
  </w:style>
  <w:style w:type="character" w:styleId="18">
    <w:name w:val="Hyperlink"/>
    <w:autoRedefine/>
    <w:qFormat/>
    <w:uiPriority w:val="99"/>
    <w:rPr>
      <w:color w:val="0000FF"/>
      <w:u w:val="single"/>
    </w:rPr>
  </w:style>
  <w:style w:type="character" w:styleId="19">
    <w:name w:val="annotation reference"/>
    <w:basedOn w:val="16"/>
    <w:autoRedefine/>
    <w:qFormat/>
    <w:uiPriority w:val="0"/>
    <w:rPr>
      <w:sz w:val="21"/>
      <w:szCs w:val="21"/>
    </w:rPr>
  </w:style>
  <w:style w:type="character" w:customStyle="1" w:styleId="20">
    <w:name w:val="页眉 字符"/>
    <w:basedOn w:val="16"/>
    <w:link w:val="11"/>
    <w:autoRedefine/>
    <w:qFormat/>
    <w:uiPriority w:val="99"/>
    <w:rPr>
      <w:sz w:val="18"/>
      <w:szCs w:val="18"/>
    </w:rPr>
  </w:style>
  <w:style w:type="character" w:customStyle="1" w:styleId="21">
    <w:name w:val="页脚 字符"/>
    <w:basedOn w:val="16"/>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6"/>
    <w:link w:val="8"/>
    <w:autoRedefine/>
    <w:qFormat/>
    <w:uiPriority w:val="99"/>
    <w:rPr>
      <w:kern w:val="2"/>
      <w:sz w:val="21"/>
      <w:szCs w:val="22"/>
    </w:rPr>
  </w:style>
  <w:style w:type="character" w:customStyle="1" w:styleId="29">
    <w:name w:val="批注主题 字符"/>
    <w:basedOn w:val="28"/>
    <w:link w:val="13"/>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6"/>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Doc-comment"/>
    <w:basedOn w:val="1"/>
    <w:next w:val="26"/>
    <w:autoRedefine/>
    <w:unhideWhenUsed/>
    <w:qFormat/>
    <w:uiPriority w:val="0"/>
    <w:pPr>
      <w:tabs>
        <w:tab w:val="left" w:pos="1622"/>
      </w:tabs>
      <w:spacing w:beforeLines="0" w:afterLines="0"/>
      <w:ind w:left="1622" w:hanging="363"/>
    </w:pPr>
    <w:rPr>
      <w:rFonts w:hint="default"/>
      <w:i/>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1627</Words>
  <Characters>8810</Characters>
  <Lines>49</Lines>
  <Paragraphs>13</Paragraphs>
  <TotalTime>2</TotalTime>
  <ScaleCrop>false</ScaleCrop>
  <LinksUpToDate>false</LinksUpToDate>
  <CharactersWithSpaces>10372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2024-08-09T07:53:08Z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7AF7DF3CD72A411B8428166968F543D9_13</vt:lpwstr>
  </property>
</Properties>
</file>